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comments.xml" ContentType="application/vnd.openxmlformats-officedocument.wordprocessingml.comments+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comments.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312" w:before="0" w:after="288"/>
        <w:contextualSpacing/>
        <w:jc w:val="center"/>
        <w:rPr>
          <w:rFonts w:ascii="Calibri" w:hAnsi="Calibri"/>
          <w:sz w:val="24"/>
          <w:szCs w:val="24"/>
        </w:rPr>
      </w:pPr>
      <w:commentRangeStart w:id="0"/>
      <w:commentRangeStart w:id="1"/>
      <w:r>
        <w:rPr>
          <w:rFonts w:cs="Arial" w:ascii="Calibri" w:hAnsi="Calibri"/>
          <w:b/>
          <w:bCs/>
          <w:color w:val="000000" w:themeColor="text1"/>
          <w:sz w:val="24"/>
          <w:szCs w:val="24"/>
        </w:rPr>
        <w:t>MODELO DE TERMO DE REFERÊNCIA</w:t>
      </w:r>
      <w:r>
        <w:rPr>
          <w:rFonts w:cs="Arial" w:ascii="Calibri" w:hAnsi="Calibri"/>
          <w:b/>
          <w:bCs/>
          <w:color w:val="000000" w:themeColor="text1"/>
          <w:sz w:val="24"/>
          <w:szCs w:val="24"/>
        </w:rPr>
      </w:r>
      <w:commentRangeEnd w:id="1"/>
      <w:r>
        <w:commentReference w:id="1"/>
      </w:r>
      <w:r>
        <w:rPr>
          <w:rFonts w:cs="Arial" w:ascii="Calibri" w:hAnsi="Calibri"/>
          <w:b/>
          <w:bCs/>
          <w:color w:val="000000" w:themeColor="text1"/>
          <w:sz w:val="24"/>
          <w:szCs w:val="24"/>
        </w:rPr>
        <w:br/>
        <w:t>Lei nº 14.133, de 1º de abril de 2021</w:t>
        <w:br/>
        <w:t>AQUISIÇÕES, EXCETO TIC</w:t>
      </w:r>
    </w:p>
    <w:p>
      <w:pPr>
        <w:pStyle w:val="Normal"/>
        <w:spacing w:lineRule="auto" w:line="312" w:before="0" w:after="288"/>
        <w:contextualSpacing/>
        <w:jc w:val="center"/>
        <w:rPr>
          <w:rFonts w:ascii="Calibri" w:hAnsi="Calibri"/>
          <w:sz w:val="24"/>
          <w:szCs w:val="24"/>
        </w:rPr>
      </w:pPr>
      <w:r>
        <w:rPr>
          <w:rFonts w:cs="Arial" w:ascii="Calibri" w:hAnsi="Calibri"/>
          <w:b/>
          <w:bCs/>
          <w:color w:val="000000" w:themeColor="text1"/>
          <w:sz w:val="24"/>
          <w:szCs w:val="24"/>
        </w:rPr>
        <w:t>LICITAÇÃO E CONTRATAÇÃO DIRETA</w:t>
      </w:r>
      <w:commentRangeEnd w:id="0"/>
      <w:r>
        <w:commentReference w:id="0"/>
      </w:r>
      <w:r>
        <w:rPr>
          <w:rFonts w:cs="Arial" w:ascii="Calibri" w:hAnsi="Calibri"/>
          <w:b/>
          <w:bCs/>
          <w:color w:val="000000" w:themeColor="text1"/>
          <w:sz w:val="24"/>
          <w:szCs w:val="24"/>
        </w:rPr>
      </w:r>
    </w:p>
    <w:p>
      <w:pPr>
        <w:pStyle w:val="Normal"/>
        <w:spacing w:lineRule="auto" w:line="312" w:before="360" w:after="288"/>
        <w:jc w:val="center"/>
        <w:rPr>
          <w:rFonts w:ascii="Calibri" w:hAnsi="Calibri"/>
          <w:sz w:val="24"/>
          <w:szCs w:val="24"/>
        </w:rPr>
      </w:pPr>
      <w:r>
        <w:rPr/>
        <w:drawing>
          <wp:inline distT="0" distB="0" distL="0" distR="0">
            <wp:extent cx="815340" cy="815340"/>
            <wp:effectExtent l="0" t="0" r="0" b="0"/>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2"/>
                    <a:stretch>
                      <a:fillRect/>
                    </a:stretch>
                  </pic:blipFill>
                  <pic:spPr bwMode="auto">
                    <a:xfrm>
                      <a:off x="0" y="0"/>
                      <a:ext cx="815340" cy="815340"/>
                    </a:xfrm>
                    <a:prstGeom prst="rect">
                      <a:avLst/>
                    </a:prstGeom>
                  </pic:spPr>
                </pic:pic>
              </a:graphicData>
            </a:graphic>
          </wp:inline>
        </w:drawing>
      </w:r>
    </w:p>
    <w:p>
      <w:pPr>
        <w:pStyle w:val="Normal"/>
        <w:spacing w:lineRule="auto" w:line="312" w:before="360" w:after="288"/>
        <w:jc w:val="center"/>
        <w:rPr>
          <w:rFonts w:ascii="Calibri" w:hAnsi="Calibri" w:cs="Arial"/>
          <w:b/>
          <w:b/>
          <w:bCs/>
          <w:i w:val="false"/>
          <w:i w:val="false"/>
          <w:iCs w:val="false"/>
          <w:color w:val="000000"/>
          <w:sz w:val="24"/>
          <w:szCs w:val="24"/>
          <w:lang w:eastAsia="pt-BR"/>
        </w:rPr>
      </w:pPr>
      <w:r>
        <w:rPr>
          <w:rFonts w:cs="Arial" w:ascii="Calibri" w:hAnsi="Calibri"/>
          <w:b/>
          <w:bCs/>
          <w:i w:val="false"/>
          <w:iCs w:val="false"/>
          <w:color w:val="000000"/>
          <w:sz w:val="24"/>
          <w:szCs w:val="24"/>
          <w:lang w:eastAsia="pt-BR"/>
        </w:rPr>
        <w:t>MARINHA DO BRASIL</w:t>
      </w:r>
    </w:p>
    <w:p>
      <w:pPr>
        <w:pStyle w:val="Normal"/>
        <w:spacing w:lineRule="auto" w:line="312" w:before="360" w:after="288"/>
        <w:jc w:val="center"/>
        <w:rPr>
          <w:rFonts w:ascii="Calibri" w:hAnsi="Calibri" w:cs="Arial"/>
          <w:b/>
          <w:b/>
          <w:bCs/>
          <w:i w:val="false"/>
          <w:i w:val="false"/>
          <w:iCs w:val="false"/>
          <w:color w:val="000000"/>
          <w:sz w:val="24"/>
          <w:szCs w:val="24"/>
          <w:lang w:eastAsia="pt-BR"/>
        </w:rPr>
      </w:pPr>
      <w:r>
        <w:rPr>
          <w:rFonts w:cs="Arial" w:ascii="Calibri" w:hAnsi="Calibri"/>
          <w:b/>
          <w:bCs/>
          <w:i w:val="false"/>
          <w:iCs w:val="false"/>
          <w:color w:val="000000"/>
          <w:sz w:val="24"/>
          <w:szCs w:val="24"/>
          <w:lang w:eastAsia="pt-BR"/>
        </w:rPr>
        <w:t>CAPITANIA FLUVIAL DE MINAS GERAIS</w:t>
      </w:r>
    </w:p>
    <w:p>
      <w:pPr>
        <w:pStyle w:val="Normal"/>
        <w:spacing w:lineRule="auto" w:line="312" w:before="120" w:after="288"/>
        <w:jc w:val="center"/>
        <w:rPr>
          <w:rFonts w:ascii="Calibri" w:hAnsi="Calibri"/>
          <w:i w:val="false"/>
          <w:i w:val="false"/>
          <w:iCs w:val="false"/>
          <w:color w:val="auto"/>
          <w:sz w:val="24"/>
          <w:szCs w:val="24"/>
        </w:rPr>
      </w:pPr>
      <w:r>
        <w:rPr>
          <w:rFonts w:cs="Arial" w:ascii="Calibri" w:hAnsi="Calibri"/>
          <w:i w:val="false"/>
          <w:iCs w:val="false"/>
          <w:color w:val="auto"/>
          <w:sz w:val="24"/>
          <w:szCs w:val="24"/>
        </w:rPr>
        <w:t>(Processo Administrativo n</w:t>
      </w:r>
      <w:r>
        <w:rPr>
          <w:rFonts w:cs="Arial" w:ascii="Calibri" w:hAnsi="Calibri"/>
          <w:bCs/>
          <w:i w:val="false"/>
          <w:iCs w:val="false"/>
          <w:color w:val="auto"/>
          <w:sz w:val="24"/>
          <w:szCs w:val="24"/>
        </w:rPr>
        <w:t xml:space="preserve">° </w:t>
      </w:r>
      <w:r>
        <w:rPr>
          <w:rFonts w:cs="Arial" w:ascii="Calibri" w:hAnsi="Calibri"/>
          <w:b/>
          <w:bCs/>
          <w:i w:val="false"/>
          <w:iCs w:val="false"/>
          <w:color w:val="auto"/>
          <w:sz w:val="24"/>
          <w:szCs w:val="24"/>
          <w:lang w:eastAsia="pt-BR"/>
        </w:rPr>
        <w:t>63510.002384/2025-21</w:t>
      </w:r>
      <w:r>
        <w:rPr>
          <w:rFonts w:cs="Arial" w:ascii="Calibri" w:hAnsi="Calibri"/>
          <w:bCs/>
          <w:i w:val="false"/>
          <w:iCs w:val="false"/>
          <w:color w:val="auto"/>
          <w:sz w:val="24"/>
          <w:szCs w:val="24"/>
        </w:rPr>
        <w:t>)</w:t>
      </w:r>
    </w:p>
    <w:p>
      <w:pPr>
        <w:pStyle w:val="Normal"/>
        <w:spacing w:lineRule="auto" w:line="312" w:before="120" w:after="288"/>
        <w:jc w:val="center"/>
        <w:rPr>
          <w:rFonts w:ascii="Calibri" w:hAnsi="Calibri"/>
          <w:i w:val="false"/>
          <w:i w:val="false"/>
          <w:iCs w:val="false"/>
          <w:color w:val="auto"/>
          <w:sz w:val="24"/>
          <w:szCs w:val="24"/>
        </w:rPr>
      </w:pPr>
      <w:r>
        <w:rPr>
          <w:rFonts w:ascii="Calibri" w:hAnsi="Calibri"/>
          <w:i w:val="false"/>
          <w:iCs w:val="false"/>
          <w:color w:val="auto"/>
          <w:sz w:val="24"/>
          <w:szCs w:val="24"/>
        </w:rPr>
      </w:r>
    </w:p>
    <w:p>
      <w:pPr>
        <w:pStyle w:val="Normal"/>
        <w:spacing w:lineRule="auto" w:line="312" w:before="0" w:after="288"/>
        <w:jc w:val="center"/>
        <w:rPr>
          <w:rFonts w:ascii="Calibri" w:hAnsi="Calibri"/>
          <w:i w:val="false"/>
          <w:i w:val="false"/>
          <w:iCs w:val="false"/>
          <w:color w:val="auto"/>
          <w:sz w:val="24"/>
          <w:szCs w:val="24"/>
        </w:rPr>
      </w:pPr>
      <w:r>
        <w:rPr>
          <w:rFonts w:cs="Arial" w:ascii="Calibri" w:hAnsi="Calibri"/>
          <w:b/>
          <w:bCs/>
          <w:i w:val="false"/>
          <w:iCs w:val="false"/>
          <w:color w:val="auto"/>
          <w:sz w:val="24"/>
          <w:szCs w:val="24"/>
        </w:rPr>
        <w:t>TERMO DE REFERÊNCIA</w:t>
      </w:r>
    </w:p>
    <w:p>
      <w:pPr>
        <w:pStyle w:val="Nivel01"/>
        <w:numPr>
          <w:ilvl w:val="0"/>
          <w:numId w:val="4"/>
        </w:numPr>
        <w:ind w:left="357" w:hanging="357"/>
        <w:rPr>
          <w:rFonts w:ascii="Calibri" w:hAnsi="Calibri"/>
          <w:i w:val="false"/>
          <w:i w:val="false"/>
          <w:iCs w:val="false"/>
          <w:color w:val="auto"/>
          <w:sz w:val="24"/>
          <w:szCs w:val="24"/>
        </w:rPr>
      </w:pPr>
      <w:r>
        <w:rPr>
          <w:rFonts w:ascii="Calibri" w:hAnsi="Calibri"/>
          <w:i w:val="false"/>
          <w:iCs w:val="false"/>
          <w:color w:val="auto"/>
          <w:sz w:val="24"/>
          <w:szCs w:val="24"/>
        </w:rPr>
        <w:t>CONDIÇÕES GERAIS DA CONTRATAÇÃO</w:t>
      </w:r>
    </w:p>
    <w:p>
      <w:pPr>
        <w:pStyle w:val="Nvel02"/>
        <w:numPr>
          <w:ilvl w:val="1"/>
          <w:numId w:val="4"/>
        </w:numPr>
        <w:ind w:left="0" w:hanging="0"/>
        <w:rPr>
          <w:rFonts w:ascii="Calibri" w:hAnsi="Calibri"/>
          <w:i w:val="false"/>
          <w:i w:val="false"/>
          <w:iCs w:val="false"/>
          <w:color w:val="auto"/>
          <w:sz w:val="24"/>
          <w:szCs w:val="24"/>
        </w:rPr>
      </w:pPr>
      <w:r>
        <w:rPr>
          <w:rFonts w:eastAsia="Arial" w:cs="Arial" w:ascii="Calibri" w:hAnsi="Calibri"/>
          <w:i w:val="false"/>
          <w:iCs w:val="false"/>
          <w:color w:val="auto"/>
          <w:sz w:val="24"/>
          <w:szCs w:val="24"/>
          <w:lang w:eastAsia="pt-BR"/>
        </w:rPr>
        <w:t>Aquisição de embarcações destinadas ao emprego de inspeções navais, ensino profissional marítimo, representações e serviços logísticos para a Capitania Fluvial de Minas Gerais e suas subordinadas no sistema de registro de preços (SRP)</w:t>
      </w:r>
      <w:bookmarkStart w:id="0" w:name="_Ref172096041"/>
      <w:r>
        <w:rPr>
          <w:rFonts w:ascii="Calibri" w:hAnsi="Calibri"/>
          <w:i w:val="false"/>
          <w:iCs w:val="false"/>
          <w:color w:val="auto"/>
          <w:sz w:val="24"/>
          <w:szCs w:val="24"/>
        </w:rPr>
        <w:t>, nos termos da tabela abaixo, conforme condições e exigências estabelecidas neste instrumento.</w:t>
      </w:r>
      <w:bookmarkEnd w:id="0"/>
    </w:p>
    <w:tbl>
      <w:tblPr>
        <w:tblW w:w="10779" w:type="dxa"/>
        <w:jc w:val="left"/>
        <w:tblInd w:w="-404" w:type="dxa"/>
        <w:tblLayout w:type="fixed"/>
        <w:tblCellMar>
          <w:top w:w="0" w:type="dxa"/>
          <w:left w:w="108" w:type="dxa"/>
          <w:bottom w:w="0" w:type="dxa"/>
          <w:right w:w="108" w:type="dxa"/>
        </w:tblCellMar>
        <w:tblLook w:firstRow="1" w:noVBand="1" w:lastRow="0" w:firstColumn="1" w:lastColumn="0" w:noHBand="0" w:val="04a0"/>
      </w:tblPr>
      <w:tblGrid>
        <w:gridCol w:w="900"/>
        <w:gridCol w:w="2910"/>
        <w:gridCol w:w="1124"/>
        <w:gridCol w:w="1305"/>
        <w:gridCol w:w="1410"/>
        <w:gridCol w:w="1486"/>
        <w:gridCol w:w="1643"/>
      </w:tblGrid>
      <w:tr>
        <w:trPr>
          <w:trHeight w:val="851" w:hRule="exact"/>
        </w:trPr>
        <w:tc>
          <w:tcPr>
            <w:tcW w:w="90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jc w:val="center"/>
              <w:rPr>
                <w:rFonts w:ascii="Calibri" w:hAnsi="Calibri"/>
                <w:b/>
                <w:b/>
                <w:i w:val="false"/>
                <w:i w:val="false"/>
                <w:iCs w:val="false"/>
                <w:color w:val="auto"/>
                <w:sz w:val="24"/>
                <w:szCs w:val="24"/>
              </w:rPr>
            </w:pPr>
            <w:commentRangeStart w:id="2"/>
            <w:r>
              <w:rPr>
                <w:rFonts w:ascii="Calibri" w:hAnsi="Calibri"/>
                <w:b/>
                <w:i w:val="false"/>
                <w:iCs w:val="false"/>
                <w:color w:val="auto"/>
                <w:sz w:val="24"/>
                <w:szCs w:val="24"/>
              </w:rPr>
              <w:t>ITEM</w:t>
            </w:r>
          </w:p>
        </w:tc>
        <w:tc>
          <w:tcPr>
            <w:tcW w:w="291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i w:val="false"/>
                <w:i w:val="false"/>
                <w:iCs w:val="false"/>
                <w:color w:val="auto"/>
                <w:sz w:val="24"/>
                <w:szCs w:val="24"/>
              </w:rPr>
            </w:pPr>
            <w:r>
              <w:rPr>
                <w:rFonts w:ascii="Calibri" w:hAnsi="Calibri"/>
                <w:b/>
                <w:i w:val="false"/>
                <w:iCs w:val="false"/>
                <w:color w:val="auto"/>
                <w:sz w:val="24"/>
                <w:szCs w:val="24"/>
              </w:rPr>
              <w:t>ESPECIFICAÇÃO</w:t>
            </w:r>
          </w:p>
        </w:tc>
        <w:tc>
          <w:tcPr>
            <w:tcW w:w="112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cs="Arial"/>
                <w:i w:val="false"/>
                <w:i w:val="false"/>
                <w:iCs w:val="false"/>
                <w:color w:val="auto"/>
                <w:sz w:val="24"/>
                <w:szCs w:val="24"/>
              </w:rPr>
            </w:pPr>
            <w:r>
              <w:rPr>
                <w:rFonts w:cs="Arial" w:ascii="Calibri" w:hAnsi="Calibri"/>
                <w:b/>
                <w:bCs/>
                <w:i w:val="false"/>
                <w:iCs w:val="false"/>
                <w:color w:val="auto"/>
                <w:sz w:val="24"/>
                <w:szCs w:val="24"/>
              </w:rPr>
              <w:t>CATMAT</w:t>
            </w:r>
          </w:p>
        </w:tc>
        <w:tc>
          <w:tcPr>
            <w:tcW w:w="130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i w:val="false"/>
                <w:i w:val="false"/>
                <w:iCs w:val="false"/>
                <w:color w:val="auto"/>
                <w:sz w:val="24"/>
                <w:szCs w:val="24"/>
              </w:rPr>
            </w:pPr>
            <w:r>
              <w:rPr>
                <w:rFonts w:ascii="Calibri" w:hAnsi="Calibri"/>
                <w:b/>
                <w:i w:val="false"/>
                <w:iCs w:val="false"/>
                <w:color w:val="auto"/>
                <w:sz w:val="24"/>
                <w:szCs w:val="24"/>
              </w:rPr>
              <w:t>UNIDADE DE MEDIDA</w:t>
            </w:r>
          </w:p>
        </w:tc>
        <w:tc>
          <w:tcPr>
            <w:tcW w:w="141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cs="Arial"/>
                <w:b/>
                <w:b/>
                <w:bCs/>
                <w:i w:val="false"/>
                <w:i w:val="false"/>
                <w:iCs w:val="false"/>
                <w:color w:val="auto"/>
                <w:sz w:val="24"/>
                <w:szCs w:val="24"/>
              </w:rPr>
            </w:pPr>
            <w:r>
              <w:rPr>
                <w:rFonts w:cs="Arial" w:ascii="Calibri" w:hAnsi="Calibri"/>
                <w:b/>
                <w:bCs/>
                <w:i w:val="false"/>
                <w:iCs w:val="false"/>
                <w:color w:val="auto"/>
                <w:sz w:val="24"/>
                <w:szCs w:val="24"/>
              </w:rPr>
              <w:t>QUANTIDADE</w:t>
            </w:r>
          </w:p>
        </w:tc>
        <w:tc>
          <w:tcPr>
            <w:tcW w:w="148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cs="Arial"/>
                <w:b/>
                <w:b/>
                <w:bCs/>
                <w:i w:val="false"/>
                <w:i w:val="false"/>
                <w:iCs w:val="false"/>
                <w:color w:val="auto"/>
                <w:sz w:val="24"/>
                <w:szCs w:val="24"/>
              </w:rPr>
            </w:pPr>
            <w:r>
              <w:rPr>
                <w:rFonts w:cs="Arial" w:ascii="Calibri" w:hAnsi="Calibri"/>
                <w:b/>
                <w:bCs/>
                <w:i w:val="false"/>
                <w:iCs w:val="false"/>
                <w:color w:val="auto"/>
                <w:sz w:val="24"/>
                <w:szCs w:val="24"/>
              </w:rPr>
              <w:t>VALOR UNITÁRIO</w:t>
            </w:r>
          </w:p>
        </w:tc>
        <w:tc>
          <w:tcPr>
            <w:tcW w:w="1643"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cs="Arial"/>
                <w:b/>
                <w:b/>
                <w:bCs/>
                <w:i w:val="false"/>
                <w:i w:val="false"/>
                <w:iCs w:val="false"/>
                <w:color w:val="auto"/>
                <w:sz w:val="24"/>
                <w:szCs w:val="24"/>
              </w:rPr>
            </w:pPr>
            <w:r>
              <w:rPr>
                <w:rFonts w:cs="Arial" w:ascii="Calibri" w:hAnsi="Calibri"/>
                <w:b/>
                <w:bCs/>
                <w:i w:val="false"/>
                <w:iCs w:val="false"/>
                <w:color w:val="auto"/>
                <w:sz w:val="24"/>
                <w:szCs w:val="24"/>
              </w:rPr>
              <w:t>VALOR TOTAL</w:t>
            </w:r>
            <w:r>
              <w:rPr/>
              <w:commentReference w:id="3"/>
            </w:r>
            <w:commentRangeEnd w:id="2"/>
            <w:r>
              <w:commentReference w:id="2"/>
            </w:r>
            <w:r>
              <w:rPr/>
            </w:r>
          </w:p>
        </w:tc>
      </w:tr>
      <w:tr>
        <w:trPr>
          <w:trHeight w:val="3064" w:hRule="exact"/>
        </w:trPr>
        <w:tc>
          <w:tcPr>
            <w:tcW w:w="90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jc w:val="center"/>
              <w:rPr>
                <w:rFonts w:ascii="Calibri" w:hAnsi="Calibri"/>
                <w:b/>
                <w:b/>
                <w:i w:val="false"/>
                <w:i w:val="false"/>
                <w:iCs w:val="false"/>
                <w:color w:val="auto"/>
                <w:sz w:val="24"/>
                <w:szCs w:val="24"/>
              </w:rPr>
            </w:pPr>
            <w:r>
              <w:rPr>
                <w:rFonts w:ascii="Calibri" w:hAnsi="Calibri"/>
                <w:b/>
                <w:i w:val="false"/>
                <w:iCs w:val="false"/>
                <w:color w:val="auto"/>
                <w:sz w:val="24"/>
                <w:szCs w:val="24"/>
              </w:rPr>
              <w:t>1</w:t>
            </w:r>
          </w:p>
        </w:tc>
        <w:tc>
          <w:tcPr>
            <w:tcW w:w="291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jc w:val="center"/>
              <w:rPr>
                <w:rFonts w:ascii="Calibri" w:hAnsi="Calibri" w:eastAsia="Arial" w:cs="Arial"/>
                <w:b w:val="false"/>
                <w:b w:val="false"/>
                <w:bCs w:val="false"/>
                <w:i w:val="false"/>
                <w:i w:val="false"/>
                <w:iCs w:val="false"/>
                <w:color w:val="auto"/>
                <w:sz w:val="24"/>
                <w:szCs w:val="24"/>
              </w:rPr>
            </w:pPr>
            <w:r>
              <w:rPr>
                <w:rFonts w:eastAsia="Arial" w:cs="Arial" w:ascii="Calibri" w:hAnsi="Calibri"/>
                <w:b w:val="false"/>
                <w:bCs w:val="false"/>
                <w:i w:val="false"/>
                <w:iCs w:val="false"/>
                <w:color w:val="auto"/>
                <w:sz w:val="24"/>
                <w:szCs w:val="24"/>
              </w:rPr>
              <w:t xml:space="preserve">PEQUENA EMBARCACAO COM PROPULSAO PROPRIA, MATERIAL:FIBRA DE VIDRO, CAPACIDADE PASSAGEIRO 3, CAPACIDADE TANQUE:60 L, TIPO:JET SENTADO, POTÊNCIA:170 HP </w:t>
            </w:r>
          </w:p>
        </w:tc>
        <w:tc>
          <w:tcPr>
            <w:tcW w:w="112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eastAsia="Arial" w:cs="Arial"/>
                <w:b w:val="false"/>
                <w:b w:val="false"/>
                <w:bCs w:val="false"/>
                <w:i w:val="false"/>
                <w:i w:val="false"/>
                <w:iCs w:val="false"/>
                <w:color w:val="auto"/>
                <w:sz w:val="24"/>
                <w:szCs w:val="24"/>
              </w:rPr>
            </w:pPr>
            <w:r>
              <w:rPr>
                <w:rFonts w:eastAsia="Arial" w:cs="Arial" w:ascii="Calibri" w:hAnsi="Calibri"/>
                <w:b w:val="false"/>
                <w:bCs w:val="false"/>
                <w:i w:val="false"/>
                <w:iCs w:val="false"/>
                <w:color w:val="auto"/>
                <w:sz w:val="24"/>
                <w:szCs w:val="24"/>
              </w:rPr>
              <w:t>602216</w:t>
            </w:r>
          </w:p>
        </w:tc>
        <w:tc>
          <w:tcPr>
            <w:tcW w:w="130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eastAsia="Arial" w:cs="Arial"/>
                <w:b w:val="false"/>
                <w:b w:val="false"/>
                <w:bCs w:val="false"/>
                <w:i w:val="false"/>
                <w:i w:val="false"/>
                <w:iCs w:val="false"/>
                <w:color w:val="auto"/>
                <w:sz w:val="24"/>
                <w:szCs w:val="24"/>
              </w:rPr>
            </w:pPr>
            <w:r>
              <w:rPr>
                <w:rFonts w:eastAsia="Arial" w:cs="Arial" w:ascii="Calibri" w:hAnsi="Calibri"/>
                <w:b w:val="false"/>
                <w:bCs w:val="false"/>
                <w:i w:val="false"/>
                <w:iCs w:val="false"/>
                <w:color w:val="auto"/>
                <w:sz w:val="24"/>
                <w:szCs w:val="24"/>
              </w:rPr>
              <w:t>UN</w:t>
            </w:r>
          </w:p>
        </w:tc>
        <w:tc>
          <w:tcPr>
            <w:tcW w:w="141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eastAsia="Arial" w:cs="Arial"/>
                <w:b w:val="false"/>
                <w:b w:val="false"/>
                <w:bCs w:val="false"/>
                <w:i w:val="false"/>
                <w:i w:val="false"/>
                <w:iCs w:val="false"/>
                <w:color w:val="auto"/>
                <w:sz w:val="24"/>
                <w:szCs w:val="24"/>
              </w:rPr>
            </w:pPr>
            <w:r>
              <w:rPr>
                <w:rFonts w:eastAsia="Arial" w:cs="Arial" w:ascii="Calibri" w:hAnsi="Calibri"/>
                <w:b w:val="false"/>
                <w:bCs w:val="false"/>
                <w:i w:val="false"/>
                <w:iCs w:val="false"/>
                <w:color w:val="auto"/>
                <w:sz w:val="24"/>
                <w:szCs w:val="24"/>
              </w:rPr>
              <w:t>8</w:t>
            </w:r>
          </w:p>
        </w:tc>
        <w:tc>
          <w:tcPr>
            <w:tcW w:w="148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eastAsia="Arial" w:cs="Arial"/>
                <w:b w:val="false"/>
                <w:b w:val="false"/>
                <w:bCs w:val="false"/>
                <w:i w:val="false"/>
                <w:i w:val="false"/>
                <w:iCs w:val="false"/>
                <w:color w:val="auto"/>
                <w:sz w:val="24"/>
                <w:szCs w:val="24"/>
              </w:rPr>
            </w:pPr>
            <w:r>
              <w:rPr>
                <w:rFonts w:eastAsia="Arial" w:cs="Arial" w:ascii="Calibri" w:hAnsi="Calibri"/>
                <w:b w:val="false"/>
                <w:bCs w:val="false"/>
                <w:i w:val="false"/>
                <w:iCs w:val="false"/>
                <w:color w:val="auto"/>
                <w:sz w:val="24"/>
                <w:szCs w:val="24"/>
              </w:rPr>
              <w:t xml:space="preserve">134.500,00 </w:t>
            </w:r>
          </w:p>
        </w:tc>
        <w:tc>
          <w:tcPr>
            <w:tcW w:w="1643"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eastAsia="Arial" w:cs="Arial"/>
                <w:b w:val="false"/>
                <w:b w:val="false"/>
                <w:bCs w:val="false"/>
                <w:i w:val="false"/>
                <w:i w:val="false"/>
                <w:iCs w:val="false"/>
                <w:color w:val="auto"/>
                <w:sz w:val="24"/>
                <w:szCs w:val="24"/>
              </w:rPr>
            </w:pPr>
            <w:r>
              <w:rPr>
                <w:rFonts w:eastAsia="Arial" w:cs="Arial" w:ascii="Calibri" w:hAnsi="Calibri"/>
                <w:b w:val="false"/>
                <w:bCs w:val="false"/>
                <w:i w:val="false"/>
                <w:iCs w:val="false"/>
                <w:color w:val="auto"/>
                <w:sz w:val="24"/>
                <w:szCs w:val="24"/>
              </w:rPr>
              <w:t>1.076.000,00</w:t>
            </w:r>
          </w:p>
        </w:tc>
      </w:tr>
      <w:tr>
        <w:trPr>
          <w:trHeight w:val="3465" w:hRule="exact"/>
        </w:trPr>
        <w:tc>
          <w:tcPr>
            <w:tcW w:w="90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jc w:val="center"/>
              <w:rPr>
                <w:rFonts w:ascii="Calibri" w:hAnsi="Calibri" w:cs="Arial"/>
                <w:b/>
                <w:b/>
                <w:i w:val="false"/>
                <w:i w:val="false"/>
                <w:iCs w:val="false"/>
                <w:color w:val="auto"/>
                <w:sz w:val="24"/>
                <w:szCs w:val="24"/>
              </w:rPr>
            </w:pPr>
            <w:r>
              <w:rPr>
                <w:rFonts w:cs="Arial" w:ascii="Calibri" w:hAnsi="Calibri"/>
                <w:b/>
                <w:i w:val="false"/>
                <w:iCs w:val="false"/>
                <w:color w:val="auto"/>
                <w:sz w:val="24"/>
                <w:szCs w:val="24"/>
              </w:rPr>
              <w:t>2</w:t>
            </w:r>
          </w:p>
        </w:tc>
        <w:tc>
          <w:tcPr>
            <w:tcW w:w="291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jc w:val="center"/>
              <w:rPr>
                <w:rFonts w:ascii="Calibri" w:hAnsi="Calibri" w:eastAsia="Arial" w:cs="Arial"/>
                <w:b w:val="false"/>
                <w:b w:val="false"/>
                <w:bCs w:val="false"/>
                <w:i w:val="false"/>
                <w:i w:val="false"/>
                <w:iCs w:val="false"/>
                <w:color w:val="auto"/>
                <w:sz w:val="24"/>
                <w:szCs w:val="24"/>
              </w:rPr>
            </w:pPr>
            <w:r>
              <w:rPr>
                <w:rFonts w:eastAsia="Arial" w:cs="Arial" w:ascii="Calibri" w:hAnsi="Calibri"/>
                <w:b w:val="false"/>
                <w:bCs w:val="false"/>
                <w:i w:val="false"/>
                <w:iCs w:val="false"/>
                <w:color w:val="auto"/>
                <w:sz w:val="24"/>
                <w:szCs w:val="24"/>
              </w:rPr>
              <w:t xml:space="preserve">PEQUENA EMBARCAÇAO COM PROPULSAO PROPRIA, MATERIAL:FIBRA DE VIDRO, CAPACIDADE PASSAGEIRO:2, CAPACIDADE TANQUE:70 L, TIPO:JET SENTADO, POTÊNCIA:300 HP </w:t>
            </w:r>
          </w:p>
        </w:tc>
        <w:tc>
          <w:tcPr>
            <w:tcW w:w="112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eastAsia="Arial" w:cs="Arial"/>
                <w:b w:val="false"/>
                <w:b w:val="false"/>
                <w:bCs w:val="false"/>
                <w:i w:val="false"/>
                <w:i w:val="false"/>
                <w:iCs w:val="false"/>
                <w:color w:val="auto"/>
                <w:sz w:val="24"/>
                <w:szCs w:val="24"/>
              </w:rPr>
            </w:pPr>
            <w:r>
              <w:rPr>
                <w:rFonts w:eastAsia="Arial" w:cs="Arial" w:ascii="Calibri" w:hAnsi="Calibri"/>
                <w:b w:val="false"/>
                <w:bCs w:val="false"/>
                <w:i w:val="false"/>
                <w:iCs w:val="false"/>
                <w:color w:val="auto"/>
                <w:sz w:val="24"/>
                <w:szCs w:val="24"/>
              </w:rPr>
              <w:t>602065</w:t>
            </w:r>
          </w:p>
        </w:tc>
        <w:tc>
          <w:tcPr>
            <w:tcW w:w="130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eastAsia="Arial" w:cs="Arial"/>
                <w:b w:val="false"/>
                <w:b w:val="false"/>
                <w:bCs w:val="false"/>
                <w:i w:val="false"/>
                <w:i w:val="false"/>
                <w:iCs w:val="false"/>
                <w:color w:val="auto"/>
                <w:sz w:val="24"/>
                <w:szCs w:val="24"/>
              </w:rPr>
            </w:pPr>
            <w:r>
              <w:rPr>
                <w:rFonts w:eastAsia="Arial" w:cs="Arial" w:ascii="Calibri" w:hAnsi="Calibri"/>
                <w:b w:val="false"/>
                <w:bCs w:val="false"/>
                <w:i w:val="false"/>
                <w:iCs w:val="false"/>
                <w:color w:val="auto"/>
                <w:sz w:val="24"/>
                <w:szCs w:val="24"/>
              </w:rPr>
              <w:t>UN</w:t>
            </w:r>
          </w:p>
        </w:tc>
        <w:tc>
          <w:tcPr>
            <w:tcW w:w="141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eastAsia="Arial" w:cs="Arial"/>
                <w:b w:val="false"/>
                <w:b w:val="false"/>
                <w:bCs w:val="false"/>
                <w:i w:val="false"/>
                <w:i w:val="false"/>
                <w:iCs w:val="false"/>
                <w:color w:val="auto"/>
                <w:sz w:val="24"/>
                <w:szCs w:val="24"/>
              </w:rPr>
            </w:pPr>
            <w:r>
              <w:rPr>
                <w:rFonts w:eastAsia="Arial" w:cs="Arial" w:ascii="Calibri" w:hAnsi="Calibri"/>
                <w:b w:val="false"/>
                <w:bCs w:val="false"/>
                <w:i w:val="false"/>
                <w:iCs w:val="false"/>
                <w:color w:val="auto"/>
                <w:sz w:val="24"/>
                <w:szCs w:val="24"/>
              </w:rPr>
              <w:t>8</w:t>
            </w:r>
          </w:p>
        </w:tc>
        <w:tc>
          <w:tcPr>
            <w:tcW w:w="148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eastAsia="Arial" w:cs="Arial"/>
                <w:b w:val="false"/>
                <w:b w:val="false"/>
                <w:bCs w:val="false"/>
                <w:i w:val="false"/>
                <w:i w:val="false"/>
                <w:iCs w:val="false"/>
                <w:color w:val="auto"/>
                <w:sz w:val="24"/>
                <w:szCs w:val="24"/>
              </w:rPr>
            </w:pPr>
            <w:r>
              <w:rPr>
                <w:rFonts w:eastAsia="Arial" w:cs="Arial" w:ascii="Calibri" w:hAnsi="Calibri"/>
                <w:b w:val="false"/>
                <w:bCs w:val="false"/>
                <w:i w:val="false"/>
                <w:iCs w:val="false"/>
                <w:color w:val="auto"/>
                <w:sz w:val="24"/>
                <w:szCs w:val="24"/>
              </w:rPr>
              <w:t xml:space="preserve">199.984,95 </w:t>
            </w:r>
          </w:p>
        </w:tc>
        <w:tc>
          <w:tcPr>
            <w:tcW w:w="1643"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eastAsia="Arial" w:cs="Arial"/>
                <w:b w:val="false"/>
                <w:b w:val="false"/>
                <w:bCs w:val="false"/>
                <w:i w:val="false"/>
                <w:i w:val="false"/>
                <w:iCs w:val="false"/>
                <w:color w:val="auto"/>
                <w:sz w:val="24"/>
                <w:szCs w:val="24"/>
              </w:rPr>
            </w:pPr>
            <w:r>
              <w:rPr>
                <w:rFonts w:eastAsia="Arial" w:cs="Arial" w:ascii="Calibri" w:hAnsi="Calibri"/>
                <w:b w:val="false"/>
                <w:bCs w:val="false"/>
                <w:i w:val="false"/>
                <w:iCs w:val="false"/>
                <w:color w:val="auto"/>
                <w:sz w:val="24"/>
                <w:szCs w:val="24"/>
              </w:rPr>
              <w:t>1.599.879,60</w:t>
            </w:r>
          </w:p>
        </w:tc>
      </w:tr>
      <w:tr>
        <w:trPr>
          <w:trHeight w:val="2550" w:hRule="exact"/>
        </w:trPr>
        <w:tc>
          <w:tcPr>
            <w:tcW w:w="90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jc w:val="center"/>
              <w:rPr>
                <w:rFonts w:ascii="Calibri" w:hAnsi="Calibri"/>
                <w:b/>
                <w:b/>
                <w:i w:val="false"/>
                <w:i w:val="false"/>
                <w:iCs w:val="false"/>
                <w:color w:val="auto"/>
                <w:sz w:val="24"/>
                <w:szCs w:val="24"/>
              </w:rPr>
            </w:pPr>
            <w:r>
              <w:rPr>
                <w:rFonts w:ascii="Calibri" w:hAnsi="Calibri"/>
                <w:b/>
                <w:i w:val="false"/>
                <w:iCs w:val="false"/>
                <w:color w:val="auto"/>
                <w:sz w:val="24"/>
                <w:szCs w:val="24"/>
              </w:rPr>
              <w:t>3</w:t>
            </w:r>
          </w:p>
        </w:tc>
        <w:tc>
          <w:tcPr>
            <w:tcW w:w="291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jc w:val="center"/>
              <w:rPr>
                <w:rFonts w:ascii="Calibri" w:hAnsi="Calibri" w:eastAsia="Arial" w:cs="Arial"/>
                <w:b w:val="false"/>
                <w:b w:val="false"/>
                <w:bCs w:val="false"/>
                <w:i w:val="false"/>
                <w:i w:val="false"/>
                <w:iCs w:val="false"/>
                <w:color w:val="auto"/>
                <w:sz w:val="24"/>
                <w:szCs w:val="24"/>
              </w:rPr>
            </w:pPr>
            <w:r>
              <w:rPr>
                <w:rFonts w:eastAsia="Arial" w:cs="Arial" w:ascii="Calibri" w:hAnsi="Calibri"/>
                <w:b w:val="false"/>
                <w:bCs w:val="false"/>
                <w:i w:val="false"/>
                <w:iCs w:val="false"/>
                <w:color w:val="auto"/>
                <w:sz w:val="24"/>
                <w:szCs w:val="24"/>
              </w:rPr>
              <w:t xml:space="preserve">LANCHA, MATERIAL CASCO ALUMÍNIO LIGA NAVAL, COMPRIMENTO 8 M, BOCA 1,90 M, PONTAL 0,75 M, POTÊNCIA MÁXIMA MOTOR 160 HP </w:t>
            </w:r>
          </w:p>
        </w:tc>
        <w:tc>
          <w:tcPr>
            <w:tcW w:w="112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eastAsia="Arial" w:cs="Arial"/>
                <w:b w:val="false"/>
                <w:b w:val="false"/>
                <w:bCs w:val="false"/>
                <w:i w:val="false"/>
                <w:i w:val="false"/>
                <w:iCs w:val="false"/>
                <w:color w:val="auto"/>
                <w:sz w:val="24"/>
                <w:szCs w:val="24"/>
              </w:rPr>
            </w:pPr>
            <w:r>
              <w:rPr>
                <w:rFonts w:eastAsia="Arial" w:cs="Arial" w:ascii="Calibri" w:hAnsi="Calibri"/>
                <w:b w:val="false"/>
                <w:bCs w:val="false"/>
                <w:i w:val="false"/>
                <w:iCs w:val="false"/>
                <w:color w:val="auto"/>
                <w:sz w:val="24"/>
                <w:szCs w:val="24"/>
              </w:rPr>
              <w:t xml:space="preserve"> </w:t>
            </w:r>
            <w:r>
              <w:rPr>
                <w:rFonts w:eastAsia="Arial" w:cs="Arial" w:ascii="Calibri" w:hAnsi="Calibri"/>
                <w:b w:val="false"/>
                <w:bCs w:val="false"/>
                <w:i w:val="false"/>
                <w:iCs w:val="false"/>
                <w:color w:val="auto"/>
                <w:sz w:val="24"/>
                <w:szCs w:val="24"/>
              </w:rPr>
              <w:t>486705</w:t>
            </w:r>
          </w:p>
        </w:tc>
        <w:tc>
          <w:tcPr>
            <w:tcW w:w="130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eastAsia="Arial" w:cs="Arial"/>
                <w:b w:val="false"/>
                <w:b w:val="false"/>
                <w:bCs w:val="false"/>
                <w:i w:val="false"/>
                <w:i w:val="false"/>
                <w:iCs w:val="false"/>
                <w:color w:val="auto"/>
                <w:sz w:val="24"/>
                <w:szCs w:val="24"/>
              </w:rPr>
            </w:pPr>
            <w:r>
              <w:rPr>
                <w:rFonts w:eastAsia="Arial" w:cs="Arial" w:ascii="Calibri" w:hAnsi="Calibri"/>
                <w:b w:val="false"/>
                <w:bCs w:val="false"/>
                <w:i w:val="false"/>
                <w:iCs w:val="false"/>
                <w:color w:val="auto"/>
                <w:sz w:val="24"/>
                <w:szCs w:val="24"/>
              </w:rPr>
              <w:t>UN</w:t>
            </w:r>
          </w:p>
        </w:tc>
        <w:tc>
          <w:tcPr>
            <w:tcW w:w="141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eastAsia="Arial" w:cs="Arial"/>
                <w:b w:val="false"/>
                <w:b w:val="false"/>
                <w:bCs w:val="false"/>
                <w:i w:val="false"/>
                <w:i w:val="false"/>
                <w:iCs w:val="false"/>
                <w:color w:val="auto"/>
                <w:sz w:val="24"/>
                <w:szCs w:val="24"/>
              </w:rPr>
            </w:pPr>
            <w:r>
              <w:rPr>
                <w:rFonts w:eastAsia="Arial" w:cs="Arial" w:ascii="Calibri" w:hAnsi="Calibri"/>
                <w:b w:val="false"/>
                <w:bCs w:val="false"/>
                <w:i w:val="false"/>
                <w:iCs w:val="false"/>
                <w:color w:val="auto"/>
                <w:sz w:val="24"/>
                <w:szCs w:val="24"/>
              </w:rPr>
              <w:t>8</w:t>
            </w:r>
          </w:p>
        </w:tc>
        <w:tc>
          <w:tcPr>
            <w:tcW w:w="148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eastAsia="Arial" w:cs="Arial"/>
                <w:b w:val="false"/>
                <w:b w:val="false"/>
                <w:bCs w:val="false"/>
                <w:i w:val="false"/>
                <w:i w:val="false"/>
                <w:iCs w:val="false"/>
                <w:color w:val="auto"/>
                <w:sz w:val="24"/>
                <w:szCs w:val="24"/>
              </w:rPr>
            </w:pPr>
            <w:r>
              <w:rPr>
                <w:rFonts w:eastAsia="Arial" w:cs="Arial" w:ascii="Calibri" w:hAnsi="Calibri"/>
                <w:b w:val="false"/>
                <w:bCs w:val="false"/>
                <w:i w:val="false"/>
                <w:iCs w:val="false"/>
                <w:color w:val="auto"/>
                <w:sz w:val="24"/>
                <w:szCs w:val="24"/>
              </w:rPr>
              <w:t xml:space="preserve">160.000,00 </w:t>
            </w:r>
          </w:p>
        </w:tc>
        <w:tc>
          <w:tcPr>
            <w:tcW w:w="1643"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eastAsia="Arial" w:cs="Arial"/>
                <w:b w:val="false"/>
                <w:b w:val="false"/>
                <w:bCs w:val="false"/>
                <w:i w:val="false"/>
                <w:i w:val="false"/>
                <w:iCs w:val="false"/>
                <w:color w:val="auto"/>
                <w:sz w:val="24"/>
                <w:szCs w:val="24"/>
              </w:rPr>
            </w:pPr>
            <w:r>
              <w:rPr>
                <w:rFonts w:eastAsia="Arial" w:cs="Arial" w:ascii="Calibri" w:hAnsi="Calibri"/>
                <w:b w:val="false"/>
                <w:bCs w:val="false"/>
                <w:i w:val="false"/>
                <w:iCs w:val="false"/>
                <w:color w:val="auto"/>
                <w:sz w:val="24"/>
                <w:szCs w:val="24"/>
              </w:rPr>
              <w:t>1.280.000,00</w:t>
            </w:r>
          </w:p>
        </w:tc>
      </w:tr>
      <w:tr>
        <w:trPr>
          <w:trHeight w:val="3060" w:hRule="exact"/>
        </w:trPr>
        <w:tc>
          <w:tcPr>
            <w:tcW w:w="90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jc w:val="center"/>
              <w:rPr>
                <w:rFonts w:ascii="Calibri" w:hAnsi="Calibri"/>
                <w:b/>
                <w:b/>
                <w:i w:val="false"/>
                <w:i w:val="false"/>
                <w:iCs w:val="false"/>
                <w:color w:val="auto"/>
                <w:sz w:val="24"/>
                <w:szCs w:val="24"/>
              </w:rPr>
            </w:pPr>
            <w:r>
              <w:rPr>
                <w:rFonts w:ascii="Calibri" w:hAnsi="Calibri"/>
                <w:b/>
                <w:i w:val="false"/>
                <w:iCs w:val="false"/>
                <w:color w:val="auto"/>
                <w:sz w:val="24"/>
                <w:szCs w:val="24"/>
              </w:rPr>
              <w:t>4</w:t>
            </w:r>
          </w:p>
        </w:tc>
        <w:tc>
          <w:tcPr>
            <w:tcW w:w="29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Calibri" w:hAnsi="Calibri" w:eastAsia="Arial" w:cs="Arial"/>
                <w:b w:val="false"/>
                <w:b w:val="false"/>
                <w:bCs w:val="false"/>
                <w:i w:val="false"/>
                <w:i w:val="false"/>
                <w:iCs w:val="false"/>
                <w:color w:val="auto"/>
                <w:sz w:val="24"/>
                <w:szCs w:val="24"/>
              </w:rPr>
            </w:pPr>
            <w:r>
              <w:rPr>
                <w:rFonts w:eastAsia="Arial" w:cs="Arial" w:ascii="Calibri" w:hAnsi="Calibri"/>
                <w:b w:val="false"/>
                <w:bCs w:val="false"/>
                <w:i w:val="false"/>
                <w:iCs w:val="false"/>
                <w:color w:val="auto"/>
                <w:sz w:val="24"/>
                <w:szCs w:val="24"/>
              </w:rPr>
              <w:t xml:space="preserve">BOTE INFLÁVEL, MATERIAL HYPALON 866, COMPRIMENTO 5,90 M, LARGURA EXTERNA 2,44 M, CAPACIDADE PASSAGEIRO 14, MATERIAL FUNDO ALUMíNIO </w:t>
            </w:r>
          </w:p>
        </w:tc>
        <w:tc>
          <w:tcPr>
            <w:tcW w:w="112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eastAsia="Arial" w:cs="Arial"/>
                <w:b w:val="false"/>
                <w:b w:val="false"/>
                <w:bCs w:val="false"/>
                <w:i w:val="false"/>
                <w:i w:val="false"/>
                <w:iCs w:val="false"/>
                <w:color w:val="auto"/>
                <w:sz w:val="24"/>
                <w:szCs w:val="24"/>
              </w:rPr>
            </w:pPr>
            <w:r>
              <w:rPr>
                <w:rFonts w:eastAsia="Arial" w:cs="Arial" w:ascii="Calibri" w:hAnsi="Calibri"/>
                <w:b w:val="false"/>
                <w:bCs w:val="false"/>
                <w:i w:val="false"/>
                <w:iCs w:val="false"/>
                <w:color w:val="auto"/>
                <w:sz w:val="24"/>
                <w:szCs w:val="24"/>
              </w:rPr>
              <w:t xml:space="preserve">606953 </w:t>
            </w:r>
          </w:p>
        </w:tc>
        <w:tc>
          <w:tcPr>
            <w:tcW w:w="130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eastAsia="Arial" w:cs="Arial"/>
                <w:b w:val="false"/>
                <w:b w:val="false"/>
                <w:bCs w:val="false"/>
                <w:i w:val="false"/>
                <w:i w:val="false"/>
                <w:iCs w:val="false"/>
                <w:color w:val="auto"/>
                <w:sz w:val="24"/>
                <w:szCs w:val="24"/>
              </w:rPr>
            </w:pPr>
            <w:r>
              <w:rPr>
                <w:rFonts w:eastAsia="Arial" w:cs="Arial" w:ascii="Calibri" w:hAnsi="Calibri"/>
                <w:b w:val="false"/>
                <w:bCs w:val="false"/>
                <w:i w:val="false"/>
                <w:iCs w:val="false"/>
                <w:color w:val="auto"/>
                <w:sz w:val="24"/>
                <w:szCs w:val="24"/>
              </w:rPr>
              <w:t>UN</w:t>
            </w:r>
          </w:p>
        </w:tc>
        <w:tc>
          <w:tcPr>
            <w:tcW w:w="141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eastAsia="Arial" w:cs="Arial"/>
                <w:b w:val="false"/>
                <w:b w:val="false"/>
                <w:bCs w:val="false"/>
                <w:i w:val="false"/>
                <w:i w:val="false"/>
                <w:iCs w:val="false"/>
                <w:color w:val="auto"/>
                <w:sz w:val="24"/>
                <w:szCs w:val="24"/>
              </w:rPr>
            </w:pPr>
            <w:r>
              <w:rPr>
                <w:rFonts w:eastAsia="Arial" w:cs="Arial" w:ascii="Calibri" w:hAnsi="Calibri"/>
                <w:b w:val="false"/>
                <w:bCs w:val="false"/>
                <w:i w:val="false"/>
                <w:iCs w:val="false"/>
                <w:color w:val="auto"/>
                <w:sz w:val="24"/>
                <w:szCs w:val="24"/>
              </w:rPr>
              <w:t>6</w:t>
            </w:r>
          </w:p>
        </w:tc>
        <w:tc>
          <w:tcPr>
            <w:tcW w:w="148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eastAsia="Arial" w:cs="Arial"/>
                <w:b w:val="false"/>
                <w:b w:val="false"/>
                <w:bCs w:val="false"/>
                <w:i w:val="false"/>
                <w:i w:val="false"/>
                <w:iCs w:val="false"/>
                <w:color w:val="auto"/>
                <w:sz w:val="24"/>
                <w:szCs w:val="24"/>
              </w:rPr>
            </w:pPr>
            <w:r>
              <w:rPr>
                <w:rFonts w:eastAsia="Arial" w:cs="Arial" w:ascii="Calibri" w:hAnsi="Calibri"/>
                <w:b w:val="false"/>
                <w:bCs w:val="false"/>
                <w:i w:val="false"/>
                <w:iCs w:val="false"/>
                <w:color w:val="auto"/>
                <w:sz w:val="24"/>
                <w:szCs w:val="24"/>
              </w:rPr>
              <w:t xml:space="preserve">32.141,92 </w:t>
            </w:r>
          </w:p>
        </w:tc>
        <w:tc>
          <w:tcPr>
            <w:tcW w:w="1643"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eastAsia="Arial" w:cs="Arial"/>
                <w:b w:val="false"/>
                <w:b w:val="false"/>
                <w:bCs w:val="false"/>
                <w:i w:val="false"/>
                <w:i w:val="false"/>
                <w:iCs w:val="false"/>
                <w:color w:val="auto"/>
                <w:sz w:val="24"/>
                <w:szCs w:val="24"/>
                <w:lang w:eastAsia="pt-BR"/>
              </w:rPr>
            </w:pPr>
            <w:r>
              <w:rPr>
                <w:rFonts w:eastAsia="Arial" w:cs="Arial" w:ascii="Calibri" w:hAnsi="Calibri"/>
                <w:b w:val="false"/>
                <w:bCs w:val="false"/>
                <w:i w:val="false"/>
                <w:iCs w:val="false"/>
                <w:color w:val="auto"/>
                <w:sz w:val="24"/>
                <w:szCs w:val="24"/>
                <w:lang w:eastAsia="pt-BR"/>
              </w:rPr>
              <w:t>192.851,52</w:t>
            </w:r>
          </w:p>
        </w:tc>
      </w:tr>
      <w:tr>
        <w:trPr>
          <w:trHeight w:val="3225" w:hRule="exact"/>
        </w:trPr>
        <w:tc>
          <w:tcPr>
            <w:tcW w:w="900" w:type="dxa"/>
            <w:tcBorders>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jc w:val="center"/>
              <w:rPr>
                <w:rFonts w:ascii="Calibri" w:hAnsi="Calibri"/>
                <w:b/>
                <w:b/>
                <w:i w:val="false"/>
                <w:i w:val="false"/>
                <w:iCs w:val="false"/>
                <w:color w:val="auto"/>
                <w:sz w:val="24"/>
                <w:szCs w:val="24"/>
              </w:rPr>
            </w:pPr>
            <w:r>
              <w:rPr>
                <w:rFonts w:ascii="Calibri" w:hAnsi="Calibri"/>
                <w:b/>
                <w:i w:val="false"/>
                <w:iCs w:val="false"/>
                <w:color w:val="auto"/>
                <w:sz w:val="24"/>
                <w:szCs w:val="24"/>
              </w:rPr>
              <w:t>5</w:t>
            </w:r>
          </w:p>
        </w:tc>
        <w:tc>
          <w:tcPr>
            <w:tcW w:w="2910" w:type="dxa"/>
            <w:tcBorders>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Calibri" w:hAnsi="Calibri" w:eastAsia="Arial" w:cs="Arial"/>
                <w:b w:val="false"/>
                <w:b w:val="false"/>
                <w:bCs w:val="false"/>
                <w:i w:val="false"/>
                <w:i w:val="false"/>
                <w:iCs w:val="false"/>
                <w:color w:val="auto"/>
                <w:sz w:val="24"/>
                <w:szCs w:val="24"/>
              </w:rPr>
            </w:pPr>
            <w:r>
              <w:rPr>
                <w:rFonts w:eastAsia="Arial" w:cs="Arial" w:ascii="Calibri" w:hAnsi="Calibri"/>
                <w:b w:val="false"/>
                <w:bCs w:val="false"/>
                <w:i w:val="false"/>
                <w:iCs w:val="false"/>
                <w:color w:val="auto"/>
                <w:sz w:val="24"/>
                <w:szCs w:val="24"/>
              </w:rPr>
              <w:t xml:space="preserve">MOTOR POPA, TIPO ELÉTRICO, POTÊNCIA 150 HP, APLICAÇÃO EMBARCAÇÃO, COMBUSTÍVEL GASOLINA, TIPO MOTOR 4 TEMPOS, SISTEMA DIREÇÃO HIDRÁULICA </w:t>
            </w:r>
          </w:p>
        </w:tc>
        <w:tc>
          <w:tcPr>
            <w:tcW w:w="1124" w:type="dxa"/>
            <w:tcBorders>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eastAsia="Arial" w:cs="Arial"/>
                <w:b w:val="false"/>
                <w:b w:val="false"/>
                <w:bCs w:val="false"/>
                <w:i w:val="false"/>
                <w:i w:val="false"/>
                <w:iCs w:val="false"/>
                <w:color w:val="auto"/>
                <w:sz w:val="24"/>
                <w:szCs w:val="24"/>
              </w:rPr>
            </w:pPr>
            <w:r>
              <w:rPr>
                <w:rFonts w:eastAsia="Arial" w:cs="Arial" w:ascii="Calibri" w:hAnsi="Calibri"/>
                <w:b w:val="false"/>
                <w:bCs w:val="false"/>
                <w:i w:val="false"/>
                <w:iCs w:val="false"/>
                <w:color w:val="auto"/>
                <w:sz w:val="24"/>
                <w:szCs w:val="24"/>
              </w:rPr>
              <w:t xml:space="preserve">618252 </w:t>
            </w:r>
          </w:p>
        </w:tc>
        <w:tc>
          <w:tcPr>
            <w:tcW w:w="1305" w:type="dxa"/>
            <w:tcBorders>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eastAsia="Arial" w:cs="Arial"/>
                <w:b w:val="false"/>
                <w:b w:val="false"/>
                <w:bCs w:val="false"/>
                <w:i w:val="false"/>
                <w:i w:val="false"/>
                <w:iCs w:val="false"/>
                <w:color w:val="auto"/>
                <w:sz w:val="24"/>
                <w:szCs w:val="24"/>
              </w:rPr>
            </w:pPr>
            <w:r>
              <w:rPr>
                <w:rFonts w:eastAsia="Arial" w:cs="Arial" w:ascii="Calibri" w:hAnsi="Calibri"/>
                <w:b w:val="false"/>
                <w:bCs w:val="false"/>
                <w:i w:val="false"/>
                <w:iCs w:val="false"/>
                <w:color w:val="auto"/>
                <w:sz w:val="24"/>
                <w:szCs w:val="24"/>
              </w:rPr>
              <w:t>UN</w:t>
            </w:r>
          </w:p>
        </w:tc>
        <w:tc>
          <w:tcPr>
            <w:tcW w:w="1410" w:type="dxa"/>
            <w:tcBorders>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eastAsia="Arial" w:cs="Arial"/>
                <w:b w:val="false"/>
                <w:b w:val="false"/>
                <w:bCs w:val="false"/>
                <w:i w:val="false"/>
                <w:i w:val="false"/>
                <w:iCs w:val="false"/>
                <w:color w:val="auto"/>
                <w:sz w:val="24"/>
                <w:szCs w:val="24"/>
              </w:rPr>
            </w:pPr>
            <w:r>
              <w:rPr>
                <w:rFonts w:eastAsia="Arial" w:cs="Arial" w:ascii="Calibri" w:hAnsi="Calibri"/>
                <w:b w:val="false"/>
                <w:bCs w:val="false"/>
                <w:i w:val="false"/>
                <w:iCs w:val="false"/>
                <w:color w:val="auto"/>
                <w:sz w:val="24"/>
                <w:szCs w:val="24"/>
              </w:rPr>
              <w:t>8</w:t>
            </w:r>
          </w:p>
        </w:tc>
        <w:tc>
          <w:tcPr>
            <w:tcW w:w="1486" w:type="dxa"/>
            <w:tcBorders>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eastAsia="Arial" w:cs="Arial"/>
                <w:b w:val="false"/>
                <w:b w:val="false"/>
                <w:bCs w:val="false"/>
                <w:i w:val="false"/>
                <w:i w:val="false"/>
                <w:iCs w:val="false"/>
                <w:color w:val="auto"/>
                <w:sz w:val="24"/>
                <w:szCs w:val="24"/>
              </w:rPr>
            </w:pPr>
            <w:r>
              <w:rPr>
                <w:rFonts w:eastAsia="Arial" w:cs="Arial" w:ascii="Calibri" w:hAnsi="Calibri"/>
                <w:b w:val="false"/>
                <w:bCs w:val="false"/>
                <w:i w:val="false"/>
                <w:iCs w:val="false"/>
                <w:color w:val="auto"/>
                <w:sz w:val="24"/>
                <w:szCs w:val="24"/>
              </w:rPr>
              <w:t xml:space="preserve">98.265,00 </w:t>
            </w:r>
          </w:p>
        </w:tc>
        <w:tc>
          <w:tcPr>
            <w:tcW w:w="1643" w:type="dxa"/>
            <w:tcBorders>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eastAsia="Arial" w:cs="Arial"/>
                <w:b w:val="false"/>
                <w:b w:val="false"/>
                <w:bCs w:val="false"/>
                <w:i w:val="false"/>
                <w:i w:val="false"/>
                <w:iCs w:val="false"/>
                <w:color w:val="auto"/>
                <w:sz w:val="24"/>
                <w:szCs w:val="24"/>
              </w:rPr>
            </w:pPr>
            <w:r>
              <w:rPr>
                <w:rFonts w:eastAsia="Arial" w:cs="Arial" w:ascii="Calibri" w:hAnsi="Calibri"/>
                <w:b w:val="false"/>
                <w:bCs w:val="false"/>
                <w:i w:val="false"/>
                <w:iCs w:val="false"/>
                <w:color w:val="auto"/>
                <w:sz w:val="24"/>
                <w:szCs w:val="24"/>
              </w:rPr>
              <w:t>786.120,00</w:t>
            </w:r>
          </w:p>
        </w:tc>
      </w:tr>
      <w:tr>
        <w:trPr>
          <w:trHeight w:val="2490" w:hRule="exact"/>
        </w:trPr>
        <w:tc>
          <w:tcPr>
            <w:tcW w:w="900" w:type="dxa"/>
            <w:tcBorders>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jc w:val="center"/>
              <w:rPr>
                <w:rFonts w:ascii="Calibri" w:hAnsi="Calibri"/>
                <w:b/>
                <w:b/>
                <w:i w:val="false"/>
                <w:i w:val="false"/>
                <w:iCs w:val="false"/>
                <w:color w:val="auto"/>
                <w:sz w:val="24"/>
                <w:szCs w:val="24"/>
              </w:rPr>
            </w:pPr>
            <w:r>
              <w:rPr>
                <w:rFonts w:ascii="Calibri" w:hAnsi="Calibri"/>
                <w:b/>
                <w:i w:val="false"/>
                <w:iCs w:val="false"/>
                <w:color w:val="auto"/>
                <w:sz w:val="24"/>
                <w:szCs w:val="24"/>
              </w:rPr>
              <w:t>6</w:t>
            </w:r>
          </w:p>
        </w:tc>
        <w:tc>
          <w:tcPr>
            <w:tcW w:w="2910" w:type="dxa"/>
            <w:tcBorders>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Calibri" w:hAnsi="Calibri" w:eastAsia="Arial" w:cs="Arial"/>
                <w:b w:val="false"/>
                <w:b w:val="false"/>
                <w:bCs w:val="false"/>
                <w:i w:val="false"/>
                <w:i w:val="false"/>
                <w:iCs w:val="false"/>
                <w:color w:val="auto"/>
                <w:sz w:val="24"/>
                <w:szCs w:val="24"/>
              </w:rPr>
            </w:pPr>
            <w:r>
              <w:rPr>
                <w:rFonts w:eastAsia="Arial" w:cs="Arial" w:ascii="Calibri" w:hAnsi="Calibri"/>
                <w:b w:val="false"/>
                <w:bCs w:val="false"/>
                <w:i w:val="false"/>
                <w:iCs w:val="false"/>
                <w:color w:val="auto"/>
                <w:sz w:val="24"/>
                <w:szCs w:val="24"/>
              </w:rPr>
              <w:t xml:space="preserve">MOTOR DE POPA, POTÊNCIA 40 HP, TIPO MOTOR 2 TEMPOS, CAPACIDADE TANQUE 25 L, SISTEMA PARTIDA ELÉTRICA </w:t>
            </w:r>
          </w:p>
        </w:tc>
        <w:tc>
          <w:tcPr>
            <w:tcW w:w="1124" w:type="dxa"/>
            <w:tcBorders>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eastAsia="Arial" w:cs="Arial"/>
                <w:b w:val="false"/>
                <w:b w:val="false"/>
                <w:bCs w:val="false"/>
                <w:i w:val="false"/>
                <w:i w:val="false"/>
                <w:iCs w:val="false"/>
                <w:color w:val="auto"/>
                <w:sz w:val="24"/>
                <w:szCs w:val="24"/>
              </w:rPr>
            </w:pPr>
            <w:r>
              <w:rPr>
                <w:rFonts w:eastAsia="Arial" w:cs="Arial" w:ascii="Calibri" w:hAnsi="Calibri"/>
                <w:b w:val="false"/>
                <w:bCs w:val="false"/>
                <w:i w:val="false"/>
                <w:iCs w:val="false"/>
                <w:color w:val="auto"/>
                <w:sz w:val="24"/>
                <w:szCs w:val="24"/>
              </w:rPr>
              <w:t xml:space="preserve">600386 </w:t>
            </w:r>
          </w:p>
        </w:tc>
        <w:tc>
          <w:tcPr>
            <w:tcW w:w="1305" w:type="dxa"/>
            <w:tcBorders>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eastAsia="Arial" w:cs="Arial"/>
                <w:b w:val="false"/>
                <w:b w:val="false"/>
                <w:bCs w:val="false"/>
                <w:i w:val="false"/>
                <w:i w:val="false"/>
                <w:iCs w:val="false"/>
                <w:color w:val="auto"/>
                <w:sz w:val="24"/>
                <w:szCs w:val="24"/>
              </w:rPr>
            </w:pPr>
            <w:r>
              <w:rPr>
                <w:rFonts w:eastAsia="Arial" w:cs="Arial" w:ascii="Calibri" w:hAnsi="Calibri"/>
                <w:b w:val="false"/>
                <w:bCs w:val="false"/>
                <w:i w:val="false"/>
                <w:iCs w:val="false"/>
                <w:color w:val="auto"/>
                <w:sz w:val="24"/>
                <w:szCs w:val="24"/>
              </w:rPr>
              <w:t>UN</w:t>
            </w:r>
          </w:p>
        </w:tc>
        <w:tc>
          <w:tcPr>
            <w:tcW w:w="1410" w:type="dxa"/>
            <w:tcBorders>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eastAsia="Arial" w:cs="Arial"/>
                <w:b w:val="false"/>
                <w:b w:val="false"/>
                <w:bCs w:val="false"/>
                <w:i w:val="false"/>
                <w:i w:val="false"/>
                <w:iCs w:val="false"/>
                <w:color w:val="auto"/>
                <w:sz w:val="24"/>
                <w:szCs w:val="24"/>
                <w:lang w:eastAsia="pt-BR"/>
              </w:rPr>
            </w:pPr>
            <w:r>
              <w:rPr>
                <w:rFonts w:eastAsia="Arial" w:cs="Arial" w:ascii="Calibri" w:hAnsi="Calibri"/>
                <w:b w:val="false"/>
                <w:bCs w:val="false"/>
                <w:i w:val="false"/>
                <w:iCs w:val="false"/>
                <w:color w:val="auto"/>
                <w:sz w:val="24"/>
                <w:szCs w:val="24"/>
                <w:lang w:eastAsia="pt-BR"/>
              </w:rPr>
              <w:t>6</w:t>
            </w:r>
          </w:p>
        </w:tc>
        <w:tc>
          <w:tcPr>
            <w:tcW w:w="1486" w:type="dxa"/>
            <w:tcBorders>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eastAsia="Arial" w:cs="Arial"/>
                <w:b w:val="false"/>
                <w:b w:val="false"/>
                <w:bCs w:val="false"/>
                <w:i w:val="false"/>
                <w:i w:val="false"/>
                <w:iCs w:val="false"/>
                <w:color w:val="auto"/>
                <w:sz w:val="24"/>
                <w:szCs w:val="24"/>
              </w:rPr>
            </w:pPr>
            <w:r>
              <w:rPr>
                <w:rFonts w:eastAsia="Arial" w:cs="Arial" w:ascii="Calibri" w:hAnsi="Calibri"/>
                <w:b w:val="false"/>
                <w:bCs w:val="false"/>
                <w:i w:val="false"/>
                <w:iCs w:val="false"/>
                <w:color w:val="auto"/>
                <w:sz w:val="24"/>
                <w:szCs w:val="24"/>
              </w:rPr>
              <w:t xml:space="preserve">22.765,00 </w:t>
            </w:r>
          </w:p>
        </w:tc>
        <w:tc>
          <w:tcPr>
            <w:tcW w:w="1643" w:type="dxa"/>
            <w:tcBorders>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eastAsia="Arial" w:cs="Arial"/>
                <w:b w:val="false"/>
                <w:b w:val="false"/>
                <w:bCs w:val="false"/>
                <w:i w:val="false"/>
                <w:i w:val="false"/>
                <w:iCs w:val="false"/>
                <w:color w:val="auto"/>
                <w:sz w:val="24"/>
                <w:szCs w:val="24"/>
                <w:lang w:eastAsia="pt-BR"/>
              </w:rPr>
            </w:pPr>
            <w:r>
              <w:rPr>
                <w:rFonts w:eastAsia="Arial" w:cs="Arial" w:ascii="Calibri" w:hAnsi="Calibri"/>
                <w:b w:val="false"/>
                <w:bCs w:val="false"/>
                <w:i w:val="false"/>
                <w:iCs w:val="false"/>
                <w:color w:val="auto"/>
                <w:sz w:val="24"/>
                <w:szCs w:val="24"/>
                <w:lang w:eastAsia="pt-BR"/>
              </w:rPr>
              <w:t>136.590,00</w:t>
            </w:r>
          </w:p>
          <w:p>
            <w:pPr>
              <w:pStyle w:val="Normal"/>
              <w:widowControl w:val="false"/>
              <w:suppressAutoHyphens w:val="true"/>
              <w:spacing w:lineRule="auto" w:line="312" w:before="120" w:after="288"/>
              <w:rPr>
                <w:rFonts w:ascii="Calibri" w:hAnsi="Calibri" w:eastAsia="Arial" w:cs="Arial"/>
                <w:b w:val="false"/>
                <w:b w:val="false"/>
                <w:bCs w:val="false"/>
                <w:i w:val="false"/>
                <w:i w:val="false"/>
                <w:iCs w:val="false"/>
                <w:color w:val="auto"/>
                <w:sz w:val="24"/>
                <w:szCs w:val="24"/>
                <w:lang w:eastAsia="pt-BR"/>
              </w:rPr>
            </w:pPr>
            <w:r>
              <w:rPr>
                <w:rFonts w:eastAsia="Arial" w:cs="Arial" w:ascii="Calibri" w:hAnsi="Calibri"/>
                <w:b w:val="false"/>
                <w:bCs w:val="false"/>
                <w:i w:val="false"/>
                <w:iCs w:val="false"/>
                <w:color w:val="auto"/>
                <w:sz w:val="24"/>
                <w:szCs w:val="24"/>
                <w:lang w:eastAsia="pt-BR"/>
              </w:rPr>
            </w:r>
          </w:p>
        </w:tc>
      </w:tr>
      <w:tr>
        <w:trPr>
          <w:trHeight w:val="2490" w:hRule="exact"/>
        </w:trPr>
        <w:tc>
          <w:tcPr>
            <w:tcW w:w="900" w:type="dxa"/>
            <w:tcBorders>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jc w:val="center"/>
              <w:rPr>
                <w:rFonts w:ascii="Calibri" w:hAnsi="Calibri"/>
                <w:b/>
                <w:b/>
                <w:i w:val="false"/>
                <w:i w:val="false"/>
                <w:iCs w:val="false"/>
                <w:color w:val="auto"/>
                <w:sz w:val="24"/>
                <w:szCs w:val="24"/>
              </w:rPr>
            </w:pPr>
            <w:r>
              <w:rPr>
                <w:rFonts w:ascii="Calibri" w:hAnsi="Calibri"/>
                <w:b/>
                <w:i w:val="false"/>
                <w:iCs w:val="false"/>
                <w:color w:val="auto"/>
                <w:sz w:val="24"/>
                <w:szCs w:val="24"/>
              </w:rPr>
              <w:t>7</w:t>
            </w:r>
          </w:p>
        </w:tc>
        <w:tc>
          <w:tcPr>
            <w:tcW w:w="2910" w:type="dxa"/>
            <w:tcBorders>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Calibri" w:hAnsi="Calibri" w:eastAsia="Arial" w:cs="Arial"/>
                <w:b w:val="false"/>
                <w:b w:val="false"/>
                <w:bCs w:val="false"/>
                <w:i w:val="false"/>
                <w:i w:val="false"/>
                <w:iCs w:val="false"/>
                <w:color w:val="auto"/>
                <w:sz w:val="24"/>
                <w:szCs w:val="24"/>
              </w:rPr>
            </w:pPr>
            <w:r>
              <w:rPr>
                <w:rFonts w:eastAsia="Arial" w:cs="Arial" w:ascii="Calibri" w:hAnsi="Calibri"/>
                <w:b w:val="false"/>
                <w:bCs w:val="false"/>
                <w:i w:val="false"/>
                <w:iCs w:val="false"/>
                <w:color w:val="auto"/>
                <w:sz w:val="24"/>
                <w:szCs w:val="24"/>
              </w:rPr>
              <w:t xml:space="preserve">BARCO ALUMÍNIO, MATERIAL CASCO:DURALUMÍNIO DE LIGA NAVAL, COMPRIMENTO:6 M, BOCA:1,50 M, PONTAL:0,55 M, CARACTERÍSTICAS ADICIONAIS:PARA 5 PASSAGEIROS, CALADO:0,15 M </w:t>
            </w:r>
          </w:p>
        </w:tc>
        <w:tc>
          <w:tcPr>
            <w:tcW w:w="1124" w:type="dxa"/>
            <w:tcBorders>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b w:val="false"/>
                <w:b w:val="false"/>
                <w:bCs w:val="false"/>
                <w:i w:val="false"/>
                <w:i w:val="false"/>
                <w:iCs w:val="false"/>
                <w:color w:val="auto"/>
                <w:sz w:val="24"/>
                <w:szCs w:val="24"/>
              </w:rPr>
            </w:pPr>
            <w:r>
              <w:rPr>
                <w:rFonts w:ascii="Calibri" w:hAnsi="Calibri"/>
                <w:b w:val="false"/>
                <w:bCs w:val="false"/>
                <w:i w:val="false"/>
                <w:iCs w:val="false"/>
                <w:color w:val="auto"/>
                <w:sz w:val="24"/>
                <w:szCs w:val="24"/>
              </w:rPr>
              <w:t xml:space="preserve">275029 </w:t>
            </w:r>
          </w:p>
        </w:tc>
        <w:tc>
          <w:tcPr>
            <w:tcW w:w="1305" w:type="dxa"/>
            <w:tcBorders>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eastAsia="Arial" w:cs="Arial"/>
                <w:b w:val="false"/>
                <w:b w:val="false"/>
                <w:bCs w:val="false"/>
                <w:i w:val="false"/>
                <w:i w:val="false"/>
                <w:iCs w:val="false"/>
                <w:color w:val="auto"/>
                <w:sz w:val="24"/>
                <w:szCs w:val="24"/>
              </w:rPr>
            </w:pPr>
            <w:r>
              <w:rPr>
                <w:rFonts w:eastAsia="Arial" w:cs="Arial" w:ascii="Calibri" w:hAnsi="Calibri"/>
                <w:b w:val="false"/>
                <w:bCs w:val="false"/>
                <w:i w:val="false"/>
                <w:iCs w:val="false"/>
                <w:color w:val="auto"/>
                <w:sz w:val="24"/>
                <w:szCs w:val="24"/>
              </w:rPr>
              <w:t>UN</w:t>
            </w:r>
          </w:p>
        </w:tc>
        <w:tc>
          <w:tcPr>
            <w:tcW w:w="1410" w:type="dxa"/>
            <w:tcBorders>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eastAsia="Arial" w:cs="Arial"/>
                <w:b w:val="false"/>
                <w:b w:val="false"/>
                <w:bCs w:val="false"/>
                <w:i w:val="false"/>
                <w:i w:val="false"/>
                <w:iCs w:val="false"/>
                <w:color w:val="auto"/>
                <w:sz w:val="24"/>
                <w:szCs w:val="24"/>
              </w:rPr>
            </w:pPr>
            <w:r>
              <w:rPr>
                <w:rFonts w:eastAsia="Arial" w:cs="Arial" w:ascii="Calibri" w:hAnsi="Calibri"/>
                <w:b w:val="false"/>
                <w:bCs w:val="false"/>
                <w:i w:val="false"/>
                <w:iCs w:val="false"/>
                <w:color w:val="auto"/>
                <w:sz w:val="24"/>
                <w:szCs w:val="24"/>
              </w:rPr>
              <w:t>6</w:t>
            </w:r>
          </w:p>
        </w:tc>
        <w:tc>
          <w:tcPr>
            <w:tcW w:w="1486" w:type="dxa"/>
            <w:tcBorders>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eastAsia="Arial" w:cs="Arial"/>
                <w:b w:val="false"/>
                <w:b w:val="false"/>
                <w:bCs w:val="false"/>
                <w:i w:val="false"/>
                <w:i w:val="false"/>
                <w:iCs w:val="false"/>
                <w:color w:val="auto"/>
                <w:sz w:val="24"/>
                <w:szCs w:val="24"/>
              </w:rPr>
            </w:pPr>
            <w:r>
              <w:rPr>
                <w:rFonts w:eastAsia="Arial" w:cs="Arial" w:ascii="Calibri" w:hAnsi="Calibri"/>
                <w:b w:val="false"/>
                <w:bCs w:val="false"/>
                <w:i w:val="false"/>
                <w:iCs w:val="false"/>
                <w:color w:val="auto"/>
                <w:sz w:val="24"/>
                <w:szCs w:val="24"/>
              </w:rPr>
              <w:t xml:space="preserve">17.900,00 </w:t>
            </w:r>
          </w:p>
        </w:tc>
        <w:tc>
          <w:tcPr>
            <w:tcW w:w="1643" w:type="dxa"/>
            <w:tcBorders>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eastAsia="Arial" w:cs="Arial"/>
                <w:b w:val="false"/>
                <w:b w:val="false"/>
                <w:bCs w:val="false"/>
                <w:i w:val="false"/>
                <w:i w:val="false"/>
                <w:iCs w:val="false"/>
                <w:color w:val="auto"/>
                <w:sz w:val="24"/>
                <w:szCs w:val="24"/>
                <w:lang w:eastAsia="pt-BR"/>
              </w:rPr>
            </w:pPr>
            <w:r>
              <w:rPr>
                <w:rFonts w:eastAsia="Arial" w:cs="Arial" w:ascii="Calibri" w:hAnsi="Calibri"/>
                <w:b w:val="false"/>
                <w:bCs w:val="false"/>
                <w:i w:val="false"/>
                <w:iCs w:val="false"/>
                <w:color w:val="auto"/>
                <w:sz w:val="24"/>
                <w:szCs w:val="24"/>
                <w:lang w:eastAsia="pt-BR"/>
              </w:rPr>
              <w:t>107.400,00</w:t>
            </w:r>
          </w:p>
        </w:tc>
      </w:tr>
      <w:tr>
        <w:trPr>
          <w:trHeight w:val="4200" w:hRule="exact"/>
        </w:trPr>
        <w:tc>
          <w:tcPr>
            <w:tcW w:w="900" w:type="dxa"/>
            <w:tcBorders>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jc w:val="center"/>
              <w:rPr>
                <w:rFonts w:ascii="Calibri" w:hAnsi="Calibri" w:cs="Tahoma"/>
                <w:b/>
                <w:b/>
                <w:i w:val="false"/>
                <w:i w:val="false"/>
                <w:iCs w:val="false"/>
                <w:color w:val="auto"/>
                <w:sz w:val="24"/>
                <w:szCs w:val="24"/>
                <w:highlight w:val="none"/>
                <w:shd w:fill="auto" w:val="clear"/>
                <w:lang w:eastAsia="pt-BR"/>
              </w:rPr>
            </w:pPr>
            <w:r>
              <w:rPr>
                <w:rFonts w:cs="Tahoma" w:ascii="Calibri" w:hAnsi="Calibri"/>
                <w:b/>
                <w:i w:val="false"/>
                <w:iCs w:val="false"/>
                <w:color w:val="000000"/>
                <w:sz w:val="24"/>
                <w:szCs w:val="24"/>
                <w:shd w:fill="auto" w:val="clear"/>
                <w:lang w:eastAsia="pt-BR"/>
              </w:rPr>
              <w:t>8</w:t>
            </w:r>
          </w:p>
        </w:tc>
        <w:tc>
          <w:tcPr>
            <w:tcW w:w="2910" w:type="dxa"/>
            <w:tcBorders>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Calibri" w:hAnsi="Calibri" w:eastAsia="Arial" w:cs="Arial"/>
                <w:b w:val="false"/>
                <w:b w:val="false"/>
                <w:bCs w:val="false"/>
                <w:i w:val="false"/>
                <w:i w:val="false"/>
                <w:iCs w:val="false"/>
                <w:color w:val="000000"/>
                <w:sz w:val="24"/>
                <w:szCs w:val="24"/>
                <w:shd w:fill="auto" w:val="clear"/>
                <w:lang w:eastAsia="pt-BR"/>
              </w:rPr>
            </w:pPr>
            <w:r>
              <w:rPr>
                <w:rFonts w:eastAsia="Arial" w:cs="Arial" w:ascii="Calibri" w:hAnsi="Calibri"/>
                <w:b w:val="false"/>
                <w:bCs w:val="false"/>
                <w:i w:val="false"/>
                <w:iCs w:val="false"/>
                <w:color w:val="000000"/>
                <w:sz w:val="24"/>
                <w:szCs w:val="24"/>
                <w:shd w:fill="auto" w:val="clear"/>
                <w:lang w:eastAsia="pt-BR"/>
              </w:rPr>
              <w:t>BOTE INFLÁVEL, MATERIAL HYPALON 866, COMPRIMENTO 5,90 M, LARGURA EXTERNA 2,44 M, CAPACIDADE PASSAGEIRO 14, MATERIAL FUNDO ALUMíNIO  - (</w:t>
            </w:r>
            <w:r>
              <w:rPr>
                <w:rFonts w:eastAsia="Arial" w:cs="Arial" w:ascii="Calibri" w:hAnsi="Calibri"/>
                <w:b/>
                <w:bCs/>
                <w:i w:val="false"/>
                <w:iCs w:val="false"/>
                <w:color w:val="000000"/>
                <w:sz w:val="24"/>
                <w:szCs w:val="24"/>
                <w:shd w:fill="auto" w:val="clear"/>
                <w:lang w:eastAsia="pt-BR"/>
              </w:rPr>
              <w:t>item exclusivo para ME/EPP  conforme Lei</w:t>
            </w:r>
            <w:r>
              <w:rPr>
                <w:rFonts w:eastAsia="Arial" w:cs="Arial" w:ascii="Calibri" w:hAnsi="Calibri"/>
                <w:b w:val="false"/>
                <w:bCs w:val="false"/>
                <w:i w:val="false"/>
                <w:iCs w:val="false"/>
                <w:color w:val="000000"/>
                <w:sz w:val="24"/>
                <w:szCs w:val="24"/>
                <w:shd w:fill="auto" w:val="clear"/>
                <w:lang w:eastAsia="pt-BR"/>
              </w:rPr>
              <w:t xml:space="preserve"> Complementar 123/2006)</w:t>
            </w:r>
          </w:p>
        </w:tc>
        <w:tc>
          <w:tcPr>
            <w:tcW w:w="1124" w:type="dxa"/>
            <w:tcBorders>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eastAsia="Arial" w:cs="Arial"/>
                <w:b w:val="false"/>
                <w:b w:val="false"/>
                <w:bCs w:val="false"/>
                <w:i w:val="false"/>
                <w:i w:val="false"/>
                <w:iCs w:val="false"/>
                <w:color w:val="auto"/>
                <w:sz w:val="24"/>
                <w:szCs w:val="24"/>
                <w:highlight w:val="none"/>
                <w:shd w:fill="auto" w:val="clear"/>
              </w:rPr>
            </w:pPr>
            <w:r>
              <w:rPr>
                <w:rFonts w:eastAsia="Arial" w:cs="Arial" w:ascii="Calibri" w:hAnsi="Calibri"/>
                <w:b w:val="false"/>
                <w:bCs w:val="false"/>
                <w:i w:val="false"/>
                <w:iCs w:val="false"/>
                <w:color w:val="000000"/>
                <w:sz w:val="24"/>
                <w:szCs w:val="24"/>
                <w:shd w:fill="auto" w:val="clear"/>
              </w:rPr>
              <w:t xml:space="preserve">606953 </w:t>
            </w:r>
          </w:p>
        </w:tc>
        <w:tc>
          <w:tcPr>
            <w:tcW w:w="1305" w:type="dxa"/>
            <w:tcBorders>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eastAsia="Arial" w:cs="Arial"/>
                <w:b w:val="false"/>
                <w:b w:val="false"/>
                <w:bCs w:val="false"/>
                <w:i w:val="false"/>
                <w:i w:val="false"/>
                <w:iCs w:val="false"/>
                <w:color w:val="auto"/>
                <w:sz w:val="24"/>
                <w:szCs w:val="24"/>
                <w:highlight w:val="none"/>
                <w:shd w:fill="auto" w:val="clear"/>
              </w:rPr>
            </w:pPr>
            <w:r>
              <w:rPr>
                <w:rFonts w:eastAsia="Arial" w:cs="Arial" w:ascii="Calibri" w:hAnsi="Calibri"/>
                <w:b w:val="false"/>
                <w:bCs w:val="false"/>
                <w:i w:val="false"/>
                <w:iCs w:val="false"/>
                <w:color w:val="000000"/>
                <w:sz w:val="24"/>
                <w:szCs w:val="24"/>
                <w:shd w:fill="auto" w:val="clear"/>
              </w:rPr>
              <w:t>UN</w:t>
            </w:r>
          </w:p>
        </w:tc>
        <w:tc>
          <w:tcPr>
            <w:tcW w:w="1410" w:type="dxa"/>
            <w:tcBorders>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eastAsia="Arial" w:cs="Arial"/>
                <w:b w:val="false"/>
                <w:b w:val="false"/>
                <w:bCs w:val="false"/>
                <w:i w:val="false"/>
                <w:i w:val="false"/>
                <w:iCs w:val="false"/>
                <w:color w:val="auto"/>
                <w:sz w:val="24"/>
                <w:szCs w:val="24"/>
                <w:highlight w:val="none"/>
                <w:shd w:fill="auto" w:val="clear"/>
              </w:rPr>
            </w:pPr>
            <w:r>
              <w:rPr>
                <w:rFonts w:eastAsia="Arial" w:cs="Arial" w:ascii="Calibri" w:hAnsi="Calibri"/>
                <w:b w:val="false"/>
                <w:bCs w:val="false"/>
                <w:i w:val="false"/>
                <w:iCs w:val="false"/>
                <w:color w:val="000000"/>
                <w:sz w:val="24"/>
                <w:szCs w:val="24"/>
                <w:shd w:fill="auto" w:val="clear"/>
              </w:rPr>
              <w:t>2</w:t>
            </w:r>
          </w:p>
        </w:tc>
        <w:tc>
          <w:tcPr>
            <w:tcW w:w="1486" w:type="dxa"/>
            <w:tcBorders>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eastAsia="Arial" w:cs="Arial"/>
                <w:b w:val="false"/>
                <w:b w:val="false"/>
                <w:bCs w:val="false"/>
                <w:i w:val="false"/>
                <w:i w:val="false"/>
                <w:iCs w:val="false"/>
                <w:color w:val="auto"/>
                <w:sz w:val="24"/>
                <w:szCs w:val="24"/>
                <w:highlight w:val="none"/>
                <w:shd w:fill="auto" w:val="clear"/>
              </w:rPr>
            </w:pPr>
            <w:r>
              <w:rPr>
                <w:rFonts w:eastAsia="Arial" w:cs="Arial" w:ascii="Calibri" w:hAnsi="Calibri"/>
                <w:b w:val="false"/>
                <w:bCs w:val="false"/>
                <w:i w:val="false"/>
                <w:iCs w:val="false"/>
                <w:color w:val="000000"/>
                <w:sz w:val="24"/>
                <w:szCs w:val="24"/>
                <w:shd w:fill="auto" w:val="clear"/>
              </w:rPr>
              <w:t xml:space="preserve">32.141,92 </w:t>
            </w:r>
          </w:p>
        </w:tc>
        <w:tc>
          <w:tcPr>
            <w:tcW w:w="1643" w:type="dxa"/>
            <w:tcBorders>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eastAsia="Arial" w:cs="Arial"/>
                <w:b w:val="false"/>
                <w:b w:val="false"/>
                <w:bCs w:val="false"/>
                <w:i w:val="false"/>
                <w:i w:val="false"/>
                <w:iCs w:val="false"/>
                <w:color w:val="auto"/>
                <w:sz w:val="24"/>
                <w:szCs w:val="24"/>
                <w:highlight w:val="none"/>
                <w:shd w:fill="auto" w:val="clear"/>
              </w:rPr>
            </w:pPr>
            <w:r>
              <w:rPr>
                <w:rFonts w:eastAsia="Arial" w:cs="Arial" w:ascii="Calibri" w:hAnsi="Calibri"/>
                <w:b w:val="false"/>
                <w:bCs w:val="false"/>
                <w:i w:val="false"/>
                <w:iCs w:val="false"/>
                <w:color w:val="000000"/>
                <w:sz w:val="24"/>
                <w:szCs w:val="24"/>
                <w:shd w:fill="auto" w:val="clear"/>
              </w:rPr>
              <w:t>64.283,84</w:t>
            </w:r>
          </w:p>
        </w:tc>
      </w:tr>
      <w:tr>
        <w:trPr>
          <w:trHeight w:val="3630" w:hRule="exact"/>
        </w:trPr>
        <w:tc>
          <w:tcPr>
            <w:tcW w:w="900" w:type="dxa"/>
            <w:tcBorders>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jc w:val="center"/>
              <w:rPr>
                <w:rFonts w:ascii="Calibri" w:hAnsi="Calibri" w:cs="Tahoma"/>
                <w:b/>
                <w:b/>
                <w:i w:val="false"/>
                <w:i w:val="false"/>
                <w:iCs w:val="false"/>
                <w:color w:val="auto"/>
                <w:sz w:val="24"/>
                <w:szCs w:val="24"/>
                <w:highlight w:val="none"/>
                <w:shd w:fill="auto" w:val="clear"/>
                <w:lang w:eastAsia="pt-BR"/>
              </w:rPr>
            </w:pPr>
            <w:r>
              <w:rPr>
                <w:rFonts w:cs="Tahoma" w:ascii="Calibri" w:hAnsi="Calibri"/>
                <w:b/>
                <w:i w:val="false"/>
                <w:iCs w:val="false"/>
                <w:color w:val="000000"/>
                <w:sz w:val="24"/>
                <w:szCs w:val="24"/>
                <w:shd w:fill="auto" w:val="clear"/>
                <w:lang w:eastAsia="pt-BR"/>
              </w:rPr>
              <w:t>9</w:t>
            </w:r>
          </w:p>
        </w:tc>
        <w:tc>
          <w:tcPr>
            <w:tcW w:w="2910" w:type="dxa"/>
            <w:tcBorders>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Calibri" w:hAnsi="Calibri" w:eastAsia="Arial" w:cs="Arial"/>
                <w:b w:val="false"/>
                <w:b w:val="false"/>
                <w:bCs w:val="false"/>
                <w:i w:val="false"/>
                <w:i w:val="false"/>
                <w:iCs w:val="false"/>
                <w:color w:val="auto"/>
                <w:sz w:val="24"/>
                <w:szCs w:val="24"/>
                <w:highlight w:val="none"/>
                <w:shd w:fill="auto" w:val="clear"/>
                <w:lang w:eastAsia="pt-BR"/>
              </w:rPr>
            </w:pPr>
            <w:r>
              <w:rPr>
                <w:rFonts w:eastAsia="Arial" w:cs="Arial" w:ascii="Calibri" w:hAnsi="Calibri"/>
                <w:b w:val="false"/>
                <w:bCs w:val="false"/>
                <w:i w:val="false"/>
                <w:iCs w:val="false"/>
                <w:color w:val="000000"/>
                <w:sz w:val="24"/>
                <w:szCs w:val="24"/>
                <w:shd w:fill="auto" w:val="clear"/>
                <w:lang w:eastAsia="pt-BR"/>
              </w:rPr>
              <w:t>MOTOR DE POPA, POTÊNCIA 40 HP, TIPO MOTOR 2 TEMPOS, CAPACIDADE TANQUE 25 L, SISTEMA PARTIDA ELÉTRICA  - (</w:t>
            </w:r>
            <w:r>
              <w:rPr>
                <w:rFonts w:eastAsia="Arial" w:cs="Arial" w:ascii="Calibri" w:hAnsi="Calibri"/>
                <w:b/>
                <w:bCs/>
                <w:i w:val="false"/>
                <w:iCs w:val="false"/>
                <w:color w:val="000000"/>
                <w:sz w:val="24"/>
                <w:szCs w:val="24"/>
                <w:shd w:fill="auto" w:val="clear"/>
                <w:lang w:eastAsia="pt-BR"/>
              </w:rPr>
              <w:t>item exclusivo para ME/EPP  conforme Lei Complementar 123/2006</w:t>
            </w:r>
            <w:r>
              <w:rPr>
                <w:rFonts w:eastAsia="Arial" w:cs="Arial" w:ascii="Calibri" w:hAnsi="Calibri"/>
                <w:b w:val="false"/>
                <w:bCs w:val="false"/>
                <w:i w:val="false"/>
                <w:iCs w:val="false"/>
                <w:color w:val="000000"/>
                <w:sz w:val="24"/>
                <w:szCs w:val="24"/>
                <w:shd w:fill="auto" w:val="clear"/>
                <w:lang w:eastAsia="pt-BR"/>
              </w:rPr>
              <w:t xml:space="preserve"> )</w:t>
            </w:r>
          </w:p>
        </w:tc>
        <w:tc>
          <w:tcPr>
            <w:tcW w:w="1124" w:type="dxa"/>
            <w:tcBorders>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eastAsia="Arial" w:cs="Arial"/>
                <w:b w:val="false"/>
                <w:b w:val="false"/>
                <w:bCs w:val="false"/>
                <w:i w:val="false"/>
                <w:i w:val="false"/>
                <w:iCs w:val="false"/>
                <w:color w:val="auto"/>
                <w:sz w:val="24"/>
                <w:szCs w:val="24"/>
                <w:highlight w:val="none"/>
                <w:shd w:fill="auto" w:val="clear"/>
              </w:rPr>
            </w:pPr>
            <w:r>
              <w:rPr>
                <w:rFonts w:eastAsia="Arial" w:cs="Arial" w:ascii="Calibri" w:hAnsi="Calibri"/>
                <w:b w:val="false"/>
                <w:bCs w:val="false"/>
                <w:i w:val="false"/>
                <w:iCs w:val="false"/>
                <w:color w:val="000000"/>
                <w:sz w:val="24"/>
                <w:szCs w:val="24"/>
                <w:shd w:fill="auto" w:val="clear"/>
              </w:rPr>
              <w:t xml:space="preserve">600386 </w:t>
            </w:r>
          </w:p>
        </w:tc>
        <w:tc>
          <w:tcPr>
            <w:tcW w:w="1305" w:type="dxa"/>
            <w:tcBorders>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eastAsia="Arial" w:cs="Arial"/>
                <w:b w:val="false"/>
                <w:b w:val="false"/>
                <w:bCs w:val="false"/>
                <w:i w:val="false"/>
                <w:i w:val="false"/>
                <w:iCs w:val="false"/>
                <w:color w:val="auto"/>
                <w:sz w:val="24"/>
                <w:szCs w:val="24"/>
                <w:highlight w:val="none"/>
                <w:shd w:fill="auto" w:val="clear"/>
              </w:rPr>
            </w:pPr>
            <w:r>
              <w:rPr>
                <w:rFonts w:eastAsia="Arial" w:cs="Arial" w:ascii="Calibri" w:hAnsi="Calibri"/>
                <w:b w:val="false"/>
                <w:bCs w:val="false"/>
                <w:i w:val="false"/>
                <w:iCs w:val="false"/>
                <w:color w:val="000000"/>
                <w:sz w:val="24"/>
                <w:szCs w:val="24"/>
                <w:shd w:fill="auto" w:val="clear"/>
              </w:rPr>
              <w:t>UN</w:t>
            </w:r>
          </w:p>
        </w:tc>
        <w:tc>
          <w:tcPr>
            <w:tcW w:w="1410" w:type="dxa"/>
            <w:tcBorders>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eastAsia="Arial" w:cs="Arial"/>
                <w:b w:val="false"/>
                <w:b w:val="false"/>
                <w:bCs w:val="false"/>
                <w:i w:val="false"/>
                <w:i w:val="false"/>
                <w:iCs w:val="false"/>
                <w:color w:val="auto"/>
                <w:sz w:val="24"/>
                <w:szCs w:val="24"/>
                <w:highlight w:val="none"/>
                <w:shd w:fill="auto" w:val="clear"/>
                <w:lang w:eastAsia="pt-BR"/>
              </w:rPr>
            </w:pPr>
            <w:r>
              <w:rPr>
                <w:rFonts w:eastAsia="Arial" w:cs="Arial" w:ascii="Calibri" w:hAnsi="Calibri"/>
                <w:b w:val="false"/>
                <w:bCs w:val="false"/>
                <w:i w:val="false"/>
                <w:iCs w:val="false"/>
                <w:color w:val="000000"/>
                <w:sz w:val="24"/>
                <w:szCs w:val="24"/>
                <w:shd w:fill="auto" w:val="clear"/>
                <w:lang w:eastAsia="pt-BR"/>
              </w:rPr>
              <w:t>2</w:t>
            </w:r>
          </w:p>
        </w:tc>
        <w:tc>
          <w:tcPr>
            <w:tcW w:w="1486" w:type="dxa"/>
            <w:tcBorders>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eastAsia="Arial" w:cs="Arial"/>
                <w:b w:val="false"/>
                <w:b w:val="false"/>
                <w:bCs w:val="false"/>
                <w:i w:val="false"/>
                <w:i w:val="false"/>
                <w:iCs w:val="false"/>
                <w:color w:val="auto"/>
                <w:sz w:val="24"/>
                <w:szCs w:val="24"/>
                <w:highlight w:val="none"/>
                <w:shd w:fill="auto" w:val="clear"/>
              </w:rPr>
            </w:pPr>
            <w:r>
              <w:rPr>
                <w:rFonts w:eastAsia="Arial" w:cs="Arial" w:ascii="Calibri" w:hAnsi="Calibri"/>
                <w:b w:val="false"/>
                <w:bCs w:val="false"/>
                <w:i w:val="false"/>
                <w:iCs w:val="false"/>
                <w:color w:val="000000"/>
                <w:sz w:val="24"/>
                <w:szCs w:val="24"/>
                <w:shd w:fill="auto" w:val="clear"/>
              </w:rPr>
              <w:t xml:space="preserve">22.765,00 </w:t>
            </w:r>
          </w:p>
        </w:tc>
        <w:tc>
          <w:tcPr>
            <w:tcW w:w="1643" w:type="dxa"/>
            <w:tcBorders>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eastAsia="Arial" w:cs="Arial"/>
                <w:b w:val="false"/>
                <w:b w:val="false"/>
                <w:bCs w:val="false"/>
                <w:i w:val="false"/>
                <w:i w:val="false"/>
                <w:iCs w:val="false"/>
                <w:color w:val="auto"/>
                <w:sz w:val="24"/>
                <w:szCs w:val="24"/>
                <w:highlight w:val="none"/>
                <w:shd w:fill="auto" w:val="clear"/>
                <w:lang w:eastAsia="pt-BR"/>
              </w:rPr>
            </w:pPr>
            <w:r>
              <w:rPr>
                <w:rFonts w:eastAsia="Arial" w:cs="Arial" w:ascii="Calibri" w:hAnsi="Calibri"/>
                <w:b w:val="false"/>
                <w:bCs w:val="false"/>
                <w:i w:val="false"/>
                <w:iCs w:val="false"/>
                <w:color w:val="000000"/>
                <w:sz w:val="24"/>
                <w:szCs w:val="24"/>
                <w:shd w:fill="auto" w:val="clear"/>
                <w:lang w:eastAsia="pt-BR"/>
              </w:rPr>
              <w:t>45.530,00</w:t>
            </w:r>
          </w:p>
        </w:tc>
      </w:tr>
      <w:tr>
        <w:trPr>
          <w:trHeight w:val="5730" w:hRule="exact"/>
        </w:trPr>
        <w:tc>
          <w:tcPr>
            <w:tcW w:w="900" w:type="dxa"/>
            <w:tcBorders>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jc w:val="center"/>
              <w:rPr>
                <w:rFonts w:ascii="Calibri" w:hAnsi="Calibri" w:cs="Tahoma"/>
                <w:b/>
                <w:b/>
                <w:i w:val="false"/>
                <w:i w:val="false"/>
                <w:iCs w:val="false"/>
                <w:color w:val="auto"/>
                <w:sz w:val="24"/>
                <w:szCs w:val="24"/>
                <w:highlight w:val="none"/>
                <w:shd w:fill="auto" w:val="clear"/>
                <w:lang w:eastAsia="pt-BR"/>
              </w:rPr>
            </w:pPr>
            <w:r>
              <w:rPr>
                <w:rFonts w:cs="Tahoma" w:ascii="Calibri" w:hAnsi="Calibri"/>
                <w:b/>
                <w:i w:val="false"/>
                <w:iCs w:val="false"/>
                <w:color w:val="000000"/>
                <w:sz w:val="24"/>
                <w:szCs w:val="24"/>
                <w:shd w:fill="auto" w:val="clear"/>
                <w:lang w:eastAsia="pt-BR"/>
              </w:rPr>
              <w:t>10</w:t>
            </w:r>
          </w:p>
        </w:tc>
        <w:tc>
          <w:tcPr>
            <w:tcW w:w="2910" w:type="dxa"/>
            <w:tcBorders>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Calibri" w:hAnsi="Calibri" w:eastAsia="Arial" w:cs="Arial"/>
                <w:b w:val="false"/>
                <w:b w:val="false"/>
                <w:bCs w:val="false"/>
                <w:i w:val="false"/>
                <w:i w:val="false"/>
                <w:iCs w:val="false"/>
                <w:color w:val="auto"/>
                <w:sz w:val="24"/>
                <w:szCs w:val="24"/>
                <w:highlight w:val="none"/>
                <w:shd w:fill="auto" w:val="clear"/>
              </w:rPr>
            </w:pPr>
            <w:r>
              <w:rPr>
                <w:rFonts w:eastAsia="Arial" w:cs="Arial" w:ascii="Calibri" w:hAnsi="Calibri"/>
                <w:b w:val="false"/>
                <w:bCs w:val="false"/>
                <w:i w:val="false"/>
                <w:iCs w:val="false"/>
                <w:color w:val="000000"/>
                <w:sz w:val="24"/>
                <w:szCs w:val="24"/>
                <w:shd w:fill="auto" w:val="clear"/>
              </w:rPr>
              <w:t xml:space="preserve">BARCO ALUMÍNIO, MATERIAL CASCO:DURALUMÍNIO DE LIGA NAVAL, COMPRIMENTO:6 M, BOCA:1,50 M, PONTAL:0,55 M, CARACTERÍSTICAS ADICIONAIS:PARA 5 PASSAGEIROS, CALADO:0,15 M </w:t>
            </w:r>
            <w:r>
              <w:rPr>
                <w:rFonts w:eastAsia="Arial" w:cs="Arial" w:ascii="Calibri" w:hAnsi="Calibri"/>
                <w:b w:val="false"/>
                <w:bCs w:val="false"/>
                <w:i w:val="false"/>
                <w:iCs w:val="false"/>
                <w:color w:val="000000"/>
                <w:sz w:val="24"/>
                <w:szCs w:val="24"/>
                <w:shd w:fill="auto" w:val="clear"/>
                <w:lang w:eastAsia="pt-BR"/>
              </w:rPr>
              <w:t>- (</w:t>
            </w:r>
            <w:r>
              <w:rPr>
                <w:rFonts w:eastAsia="Arial" w:cs="Arial" w:ascii="Calibri" w:hAnsi="Calibri"/>
                <w:b/>
                <w:bCs/>
                <w:i w:val="false"/>
                <w:iCs w:val="false"/>
                <w:color w:val="000000"/>
                <w:sz w:val="24"/>
                <w:szCs w:val="24"/>
                <w:shd w:fill="auto" w:val="clear"/>
                <w:lang w:eastAsia="pt-BR"/>
              </w:rPr>
              <w:t>item exclusivo para ME/EPP  conforme Lei</w:t>
            </w:r>
            <w:r>
              <w:rPr>
                <w:rFonts w:eastAsia="Arial" w:cs="Arial" w:ascii="Calibri" w:hAnsi="Calibri"/>
                <w:b w:val="false"/>
                <w:bCs w:val="false"/>
                <w:i w:val="false"/>
                <w:iCs w:val="false"/>
                <w:color w:val="000000"/>
                <w:sz w:val="24"/>
                <w:szCs w:val="24"/>
                <w:shd w:fill="auto" w:val="clear"/>
                <w:lang w:eastAsia="pt-BR"/>
              </w:rPr>
              <w:t xml:space="preserve"> Complementar 123/2006 )</w:t>
            </w:r>
            <w:r>
              <w:rPr>
                <w:rFonts w:eastAsia="Arial" w:cs="Arial" w:ascii="Calibri" w:hAnsi="Calibri"/>
                <w:b w:val="false"/>
                <w:bCs w:val="false"/>
                <w:i w:val="false"/>
                <w:iCs w:val="false"/>
                <w:color w:val="000000"/>
                <w:sz w:val="24"/>
                <w:szCs w:val="24"/>
                <w:shd w:fill="auto" w:val="clear"/>
              </w:rPr>
              <w:t xml:space="preserve"> </w:t>
            </w:r>
          </w:p>
        </w:tc>
        <w:tc>
          <w:tcPr>
            <w:tcW w:w="1124" w:type="dxa"/>
            <w:tcBorders>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b w:val="false"/>
                <w:b w:val="false"/>
                <w:bCs w:val="false"/>
                <w:i w:val="false"/>
                <w:i w:val="false"/>
                <w:iCs w:val="false"/>
                <w:color w:val="auto"/>
                <w:sz w:val="24"/>
                <w:szCs w:val="24"/>
                <w:highlight w:val="none"/>
                <w:shd w:fill="auto" w:val="clear"/>
              </w:rPr>
            </w:pPr>
            <w:r>
              <w:rPr>
                <w:rFonts w:ascii="Calibri" w:hAnsi="Calibri"/>
                <w:b w:val="false"/>
                <w:bCs w:val="false"/>
                <w:i w:val="false"/>
                <w:iCs w:val="false"/>
                <w:color w:val="000000"/>
                <w:sz w:val="24"/>
                <w:szCs w:val="24"/>
                <w:shd w:fill="auto" w:val="clear"/>
              </w:rPr>
              <w:t xml:space="preserve">275029 </w:t>
            </w:r>
          </w:p>
        </w:tc>
        <w:tc>
          <w:tcPr>
            <w:tcW w:w="1305" w:type="dxa"/>
            <w:tcBorders>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eastAsia="Arial" w:cs="Arial"/>
                <w:b w:val="false"/>
                <w:b w:val="false"/>
                <w:bCs w:val="false"/>
                <w:i w:val="false"/>
                <w:i w:val="false"/>
                <w:iCs w:val="false"/>
                <w:color w:val="auto"/>
                <w:sz w:val="24"/>
                <w:szCs w:val="24"/>
                <w:highlight w:val="none"/>
                <w:shd w:fill="auto" w:val="clear"/>
              </w:rPr>
            </w:pPr>
            <w:r>
              <w:rPr>
                <w:rFonts w:eastAsia="Arial" w:cs="Arial" w:ascii="Calibri" w:hAnsi="Calibri"/>
                <w:b w:val="false"/>
                <w:bCs w:val="false"/>
                <w:i w:val="false"/>
                <w:iCs w:val="false"/>
                <w:color w:val="000000"/>
                <w:sz w:val="24"/>
                <w:szCs w:val="24"/>
                <w:shd w:fill="auto" w:val="clear"/>
              </w:rPr>
              <w:t>UN</w:t>
            </w:r>
          </w:p>
        </w:tc>
        <w:tc>
          <w:tcPr>
            <w:tcW w:w="1410" w:type="dxa"/>
            <w:tcBorders>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eastAsia="Arial" w:cs="Arial"/>
                <w:b w:val="false"/>
                <w:b w:val="false"/>
                <w:bCs w:val="false"/>
                <w:i w:val="false"/>
                <w:i w:val="false"/>
                <w:iCs w:val="false"/>
                <w:color w:val="auto"/>
                <w:sz w:val="24"/>
                <w:szCs w:val="24"/>
                <w:highlight w:val="none"/>
                <w:shd w:fill="auto" w:val="clear"/>
                <w:lang w:eastAsia="pt-BR"/>
              </w:rPr>
            </w:pPr>
            <w:r>
              <w:rPr>
                <w:rFonts w:eastAsia="Arial" w:cs="Arial" w:ascii="Calibri" w:hAnsi="Calibri"/>
                <w:b w:val="false"/>
                <w:bCs w:val="false"/>
                <w:i w:val="false"/>
                <w:iCs w:val="false"/>
                <w:color w:val="000000"/>
                <w:sz w:val="24"/>
                <w:szCs w:val="24"/>
                <w:shd w:fill="auto" w:val="clear"/>
                <w:lang w:eastAsia="pt-BR"/>
              </w:rPr>
              <w:t>2</w:t>
            </w:r>
          </w:p>
        </w:tc>
        <w:tc>
          <w:tcPr>
            <w:tcW w:w="1486" w:type="dxa"/>
            <w:tcBorders>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eastAsia="Arial" w:cs="Arial"/>
                <w:b w:val="false"/>
                <w:b w:val="false"/>
                <w:bCs w:val="false"/>
                <w:i w:val="false"/>
                <w:i w:val="false"/>
                <w:iCs w:val="false"/>
                <w:color w:val="auto"/>
                <w:sz w:val="24"/>
                <w:szCs w:val="24"/>
                <w:highlight w:val="none"/>
                <w:shd w:fill="auto" w:val="clear"/>
              </w:rPr>
            </w:pPr>
            <w:r>
              <w:rPr>
                <w:rFonts w:eastAsia="Arial" w:cs="Arial" w:ascii="Calibri" w:hAnsi="Calibri"/>
                <w:b w:val="false"/>
                <w:bCs w:val="false"/>
                <w:i w:val="false"/>
                <w:iCs w:val="false"/>
                <w:color w:val="000000"/>
                <w:sz w:val="24"/>
                <w:szCs w:val="24"/>
                <w:shd w:fill="auto" w:val="clear"/>
              </w:rPr>
              <w:t xml:space="preserve">17.900,00 </w:t>
            </w:r>
          </w:p>
        </w:tc>
        <w:tc>
          <w:tcPr>
            <w:tcW w:w="1643" w:type="dxa"/>
            <w:tcBorders>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Calibri" w:hAnsi="Calibri" w:eastAsia="Arial" w:cs="Arial"/>
                <w:b w:val="false"/>
                <w:b w:val="false"/>
                <w:bCs w:val="false"/>
                <w:i w:val="false"/>
                <w:i w:val="false"/>
                <w:iCs w:val="false"/>
                <w:color w:val="auto"/>
                <w:sz w:val="24"/>
                <w:szCs w:val="24"/>
                <w:highlight w:val="none"/>
                <w:shd w:fill="auto" w:val="clear"/>
                <w:lang w:eastAsia="pt-BR"/>
              </w:rPr>
            </w:pPr>
            <w:r>
              <w:rPr>
                <w:rFonts w:eastAsia="Arial" w:cs="Arial" w:ascii="Calibri" w:hAnsi="Calibri"/>
                <w:b w:val="false"/>
                <w:bCs w:val="false"/>
                <w:i w:val="false"/>
                <w:iCs w:val="false"/>
                <w:color w:val="000000"/>
                <w:sz w:val="24"/>
                <w:szCs w:val="24"/>
                <w:shd w:fill="auto" w:val="clear"/>
                <w:lang w:eastAsia="pt-BR"/>
              </w:rPr>
              <w:t>35.800,00</w:t>
            </w:r>
          </w:p>
        </w:tc>
      </w:tr>
    </w:tbl>
    <w:p>
      <w:pPr>
        <w:pStyle w:val="Normal"/>
        <w:numPr>
          <w:ilvl w:val="2"/>
          <w:numId w:val="5"/>
        </w:numPr>
        <w:spacing w:lineRule="auto" w:line="276" w:before="120" w:after="120"/>
        <w:ind w:left="930" w:hanging="504"/>
        <w:jc w:val="both"/>
        <w:rPr>
          <w:rFonts w:ascii="Calibri" w:hAnsi="Calibri"/>
          <w:i w:val="false"/>
          <w:i w:val="false"/>
          <w:iCs w:val="false"/>
          <w:color w:val="auto"/>
          <w:sz w:val="24"/>
          <w:szCs w:val="24"/>
          <w:highlight w:val="none"/>
          <w:shd w:fill="auto" w:val="clear"/>
        </w:rPr>
      </w:pPr>
      <w:r>
        <w:rPr>
          <w:rFonts w:eastAsia="Times New Roman" w:cs="Arial" w:ascii="Calibri" w:hAnsi="Calibri"/>
          <w:i w:val="false"/>
          <w:iCs w:val="false"/>
          <w:color w:val="000000"/>
          <w:sz w:val="24"/>
          <w:szCs w:val="24"/>
          <w:shd w:fill="auto" w:val="clear"/>
        </w:rPr>
        <w:t>Estimativas de consumo individualizadas, do órgão gerenciador e órgão(s) e entidade(s) participante(s).</w:t>
      </w:r>
    </w:p>
    <w:tbl>
      <w:tblPr>
        <w:tblW w:w="9634"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634"/>
      </w:tblGrid>
      <w:tr>
        <w:trPr/>
        <w:tc>
          <w:tcPr>
            <w:tcW w:w="96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both"/>
              <w:rPr>
                <w:rFonts w:ascii="Calibri" w:hAnsi="Calibri" w:eastAsia="Times New Roman" w:cs="Arial"/>
                <w:b/>
                <w:b/>
                <w:i w:val="false"/>
                <w:i w:val="false"/>
                <w:iCs w:val="false"/>
                <w:color w:val="auto"/>
                <w:sz w:val="24"/>
                <w:szCs w:val="24"/>
                <w:highlight w:val="none"/>
                <w:shd w:fill="auto" w:val="clear"/>
              </w:rPr>
            </w:pPr>
            <w:r>
              <w:rPr>
                <w:rFonts w:eastAsia="Times New Roman" w:cs="Arial" w:ascii="Calibri" w:hAnsi="Calibri"/>
                <w:b/>
                <w:i w:val="false"/>
                <w:iCs w:val="false"/>
                <w:color w:val="000000"/>
                <w:sz w:val="24"/>
                <w:szCs w:val="24"/>
                <w:shd w:fill="auto" w:val="clear"/>
              </w:rPr>
              <w:t>Órgão Gerenciador: CAPITANIA FLUVIAL DE MINAS GERAIS</w:t>
            </w:r>
          </w:p>
        </w:tc>
      </w:tr>
    </w:tbl>
    <w:p>
      <w:pPr>
        <w:pStyle w:val="Normal"/>
        <w:spacing w:lineRule="auto" w:line="276" w:before="0" w:after="120"/>
        <w:jc w:val="both"/>
        <w:rPr>
          <w:rFonts w:ascii="Calibri" w:hAnsi="Calibri" w:eastAsia="Times New Roman" w:cs="Arial"/>
          <w:b/>
          <w:b/>
          <w:i w:val="false"/>
          <w:i w:val="false"/>
          <w:iCs w:val="false"/>
          <w:color w:val="auto"/>
          <w:sz w:val="24"/>
          <w:szCs w:val="24"/>
          <w:highlight w:val="none"/>
          <w:shd w:fill="auto" w:val="clear"/>
        </w:rPr>
      </w:pPr>
      <w:r>
        <w:rPr>
          <w:rFonts w:eastAsia="Times New Roman" w:cs="Arial" w:ascii="Calibri" w:hAnsi="Calibri"/>
          <w:b/>
          <w:i w:val="false"/>
          <w:iCs w:val="false"/>
          <w:color w:val="000000"/>
          <w:sz w:val="24"/>
          <w:szCs w:val="24"/>
          <w:shd w:fill="auto" w:val="clear"/>
        </w:rPr>
      </w:r>
    </w:p>
    <w:tbl>
      <w:tblPr>
        <w:tblW w:w="9634"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634"/>
      </w:tblGrid>
      <w:tr>
        <w:trPr/>
        <w:tc>
          <w:tcPr>
            <w:tcW w:w="96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both"/>
              <w:rPr>
                <w:rFonts w:ascii="Calibri" w:hAnsi="Calibri" w:eastAsia="Times New Roman" w:cs="Arial"/>
                <w:b/>
                <w:b/>
                <w:i w:val="false"/>
                <w:i w:val="false"/>
                <w:iCs w:val="false"/>
                <w:color w:val="auto"/>
                <w:sz w:val="24"/>
                <w:szCs w:val="24"/>
                <w:highlight w:val="none"/>
                <w:shd w:fill="auto" w:val="clear"/>
              </w:rPr>
            </w:pPr>
            <w:r>
              <w:rPr>
                <w:rFonts w:eastAsia="Times New Roman" w:cs="Arial" w:ascii="Calibri" w:hAnsi="Calibri"/>
                <w:b/>
                <w:i w:val="false"/>
                <w:iCs w:val="false"/>
                <w:color w:val="000000"/>
                <w:sz w:val="24"/>
                <w:szCs w:val="24"/>
                <w:shd w:fill="auto" w:val="clear"/>
              </w:rPr>
              <w:t>Órgão Participante: Não há.</w:t>
            </w:r>
          </w:p>
        </w:tc>
      </w:tr>
    </w:tbl>
    <w:p>
      <w:pPr>
        <w:pStyle w:val="Nvel2Opcional1"/>
        <w:widowControl/>
        <w:numPr>
          <w:ilvl w:val="1"/>
          <w:numId w:val="4"/>
        </w:numPr>
        <w:shd w:val="clear" w:color="auto" w:fill="auto"/>
        <w:bidi w:val="0"/>
        <w:spacing w:lineRule="auto" w:line="276" w:before="120" w:after="120"/>
        <w:ind w:left="964" w:right="0" w:hanging="454"/>
        <w:jc w:val="both"/>
        <w:rPr>
          <w:rFonts w:ascii="Calibri" w:hAnsi="Calibri"/>
          <w:i w:val="false"/>
          <w:i w:val="false"/>
          <w:iCs w:val="false"/>
          <w:color w:val="auto"/>
          <w:sz w:val="24"/>
          <w:szCs w:val="24"/>
        </w:rPr>
      </w:pPr>
      <w:r>
        <w:rPr>
          <w:rFonts w:ascii="Calibri" w:hAnsi="Calibri"/>
          <w:i w:val="false"/>
          <w:iCs w:val="false"/>
          <w:color w:val="auto"/>
          <w:sz w:val="24"/>
          <w:szCs w:val="24"/>
        </w:rPr>
        <w:t>Os bens</w:t>
      </w:r>
      <w:commentRangeStart w:id="4"/>
      <w:r>
        <w:rPr>
          <w:rFonts w:ascii="Calibri" w:hAnsi="Calibri"/>
          <w:i w:val="false"/>
          <w:iCs w:val="false"/>
          <w:color w:val="auto"/>
          <w:sz w:val="24"/>
          <w:szCs w:val="24"/>
        </w:rPr>
        <w:t xml:space="preserve"> objeto desta contratação são caracterizados como comuns, conforme justificativa constante do Estudo Técnico Preliminar.</w:t>
      </w:r>
      <w:commentRangeEnd w:id="4"/>
      <w:r>
        <w:commentReference w:id="4"/>
      </w:r>
      <w:r>
        <w:rPr>
          <w:rFonts w:ascii="Calibri" w:hAnsi="Calibri"/>
          <w:i w:val="false"/>
          <w:iCs w:val="false"/>
          <w:color w:val="auto"/>
          <w:sz w:val="24"/>
          <w:szCs w:val="24"/>
        </w:rPr>
      </w:r>
    </w:p>
    <w:p>
      <w:pPr>
        <w:pStyle w:val="Ou"/>
        <w:rPr>
          <w:rFonts w:ascii="Calibri" w:hAnsi="Calibri"/>
          <w:i w:val="false"/>
          <w:i w:val="false"/>
          <w:iCs w:val="false"/>
          <w:color w:val="auto"/>
          <w:sz w:val="24"/>
          <w:szCs w:val="24"/>
        </w:rPr>
      </w:pPr>
      <w:r>
        <w:rPr>
          <w:rFonts w:ascii="Calibri" w:hAnsi="Calibri"/>
          <w:i w:val="false"/>
          <w:iCs w:val="false"/>
          <w:color w:val="auto"/>
          <w:sz w:val="24"/>
          <w:szCs w:val="24"/>
        </w:rPr>
      </w:r>
      <w:bookmarkStart w:id="1" w:name="_Hlk171371987"/>
      <w:bookmarkStart w:id="2" w:name="_Hlk171371987"/>
      <w:bookmarkEnd w:id="2"/>
    </w:p>
    <w:p>
      <w:pPr>
        <w:pStyle w:val="Nvel2Opcional1"/>
        <w:widowControl/>
        <w:numPr>
          <w:ilvl w:val="1"/>
          <w:numId w:val="4"/>
        </w:numPr>
        <w:shd w:val="clear" w:color="auto" w:fill="auto"/>
        <w:bidi w:val="0"/>
        <w:spacing w:lineRule="auto" w:line="276" w:before="120" w:after="120"/>
        <w:ind w:left="1020" w:right="0" w:hanging="454"/>
        <w:jc w:val="both"/>
        <w:rPr>
          <w:rFonts w:ascii="Calibri" w:hAnsi="Calibri"/>
          <w:i w:val="false"/>
          <w:i w:val="false"/>
          <w:iCs w:val="false"/>
          <w:color w:val="auto"/>
          <w:sz w:val="24"/>
          <w:szCs w:val="24"/>
        </w:rPr>
      </w:pPr>
      <w:commentRangeStart w:id="5"/>
      <w:r>
        <w:rPr>
          <w:rFonts w:ascii="Calibri" w:hAnsi="Calibri"/>
          <w:i w:val="false"/>
          <w:iCs w:val="false"/>
          <w:color w:val="auto"/>
          <w:sz w:val="24"/>
          <w:szCs w:val="24"/>
        </w:rPr>
        <w:t>O objeto desta contratação não se enquadra como bem de luxo, conforme Decreto nº 10.818, de 27 de setembro de 2021.</w:t>
      </w:r>
      <w:bookmarkStart w:id="3" w:name="_Hlk176363679"/>
      <w:bookmarkEnd w:id="3"/>
      <w:commentRangeEnd w:id="5"/>
      <w:r>
        <w:commentReference w:id="5"/>
      </w:r>
      <w:r>
        <w:rPr>
          <w:rFonts w:ascii="Calibri" w:hAnsi="Calibri"/>
          <w:i w:val="false"/>
          <w:iCs w:val="false"/>
          <w:color w:val="auto"/>
          <w:sz w:val="24"/>
          <w:szCs w:val="24"/>
        </w:rPr>
      </w:r>
    </w:p>
    <w:p>
      <w:pPr>
        <w:pStyle w:val="Nvel2Opcional1"/>
        <w:widowControl/>
        <w:numPr>
          <w:ilvl w:val="1"/>
          <w:numId w:val="4"/>
        </w:numPr>
        <w:shd w:val="clear" w:color="auto" w:fill="auto"/>
        <w:bidi w:val="0"/>
        <w:spacing w:lineRule="auto" w:line="276" w:before="120" w:after="120"/>
        <w:ind w:left="1020" w:right="0" w:hanging="454"/>
        <w:jc w:val="both"/>
        <w:rPr>
          <w:rFonts w:ascii="Calibri" w:hAnsi="Calibri"/>
          <w:i w:val="false"/>
          <w:i w:val="false"/>
          <w:iCs w:val="false"/>
          <w:color w:val="auto"/>
          <w:sz w:val="24"/>
          <w:szCs w:val="24"/>
        </w:rPr>
      </w:pPr>
      <w:r>
        <w:rPr>
          <w:rFonts w:ascii="Calibri" w:hAnsi="Calibri"/>
          <w:i w:val="false"/>
          <w:iCs w:val="false"/>
          <w:color w:val="auto"/>
          <w:sz w:val="24"/>
          <w:szCs w:val="24"/>
        </w:rPr>
        <w:t xml:space="preserve">O prazo de vigência da contratação é de </w:t>
      </w:r>
      <w:r>
        <w:rPr>
          <w:rFonts w:eastAsia="Arial" w:cs="Arial" w:ascii="Calibri" w:hAnsi="Calibri"/>
          <w:b/>
          <w:bCs/>
          <w:i w:val="false"/>
          <w:iCs w:val="false"/>
          <w:color w:val="auto"/>
          <w:sz w:val="24"/>
          <w:szCs w:val="24"/>
          <w:lang w:eastAsia="pt-BR"/>
        </w:rPr>
        <w:t>12 meses</w:t>
      </w:r>
      <w:r>
        <w:rPr>
          <w:rFonts w:ascii="Calibri" w:hAnsi="Calibri"/>
          <w:i w:val="false"/>
          <w:iCs w:val="false"/>
          <w:color w:val="auto"/>
          <w:sz w:val="24"/>
          <w:szCs w:val="24"/>
        </w:rPr>
        <w:t xml:space="preserve"> contados d</w:t>
      </w:r>
      <w:r>
        <w:rPr>
          <w:rFonts w:eastAsia="Arial" w:cs="Arial" w:ascii="Calibri" w:hAnsi="Calibri"/>
          <w:i w:val="false"/>
          <w:iCs w:val="false"/>
          <w:color w:val="auto"/>
          <w:sz w:val="24"/>
          <w:szCs w:val="24"/>
          <w:lang w:eastAsia="pt-BR"/>
        </w:rPr>
        <w:t>a</w:t>
      </w:r>
      <w:r>
        <w:rPr>
          <w:rFonts w:ascii="Calibri" w:hAnsi="Calibri"/>
          <w:i w:val="false"/>
          <w:iCs w:val="false"/>
          <w:color w:val="auto"/>
          <w:sz w:val="24"/>
          <w:szCs w:val="24"/>
        </w:rPr>
        <w:t xml:space="preserve"> </w:t>
      </w:r>
      <w:r>
        <w:rPr>
          <w:rFonts w:eastAsia="Arial" w:cs="Arial" w:ascii="Calibri" w:hAnsi="Calibri"/>
          <w:b/>
          <w:bCs/>
          <w:i w:val="false"/>
          <w:iCs w:val="false"/>
          <w:color w:val="auto"/>
          <w:sz w:val="24"/>
          <w:szCs w:val="24"/>
          <w:lang w:eastAsia="pt-BR"/>
        </w:rPr>
        <w:t>assinatura da ata de registro de preços</w:t>
      </w:r>
      <w:r>
        <w:rPr>
          <w:rFonts w:ascii="Calibri" w:hAnsi="Calibri"/>
          <w:i w:val="false"/>
          <w:iCs w:val="false"/>
          <w:color w:val="auto"/>
          <w:sz w:val="24"/>
          <w:szCs w:val="24"/>
        </w:rPr>
        <w:t>, na forma do artigo 105 da Lei n° 14.133, de 2021.</w:t>
      </w:r>
    </w:p>
    <w:p>
      <w:pPr>
        <w:pStyle w:val="Nvel02"/>
        <w:widowControl/>
        <w:numPr>
          <w:ilvl w:val="1"/>
          <w:numId w:val="4"/>
        </w:numPr>
        <w:shd w:val="clear" w:color="auto" w:fill="auto"/>
        <w:bidi w:val="0"/>
        <w:spacing w:lineRule="auto" w:line="276" w:before="120" w:after="120"/>
        <w:ind w:left="1020" w:right="0" w:hanging="454"/>
        <w:jc w:val="both"/>
        <w:rPr>
          <w:rFonts w:ascii="Calibri" w:hAnsi="Calibri"/>
          <w:sz w:val="24"/>
          <w:szCs w:val="24"/>
        </w:rPr>
      </w:pPr>
      <w:r>
        <w:rPr>
          <w:rFonts w:ascii="Calibri" w:hAnsi="Calibri"/>
          <w:sz w:val="24"/>
          <w:szCs w:val="24"/>
        </w:rPr>
        <w:t>O contrato ou outro instrumento hábil que o substitua oferece maior detalhamento das regras que serão aplicadas em relação à vigência da contratação.</w:t>
      </w:r>
    </w:p>
    <w:p>
      <w:pPr>
        <w:pStyle w:val="Nivel01"/>
        <w:numPr>
          <w:ilvl w:val="0"/>
          <w:numId w:val="4"/>
        </w:numPr>
        <w:ind w:left="357" w:hanging="357"/>
        <w:rPr>
          <w:rFonts w:ascii="Calibri" w:hAnsi="Calibri"/>
          <w:sz w:val="24"/>
          <w:szCs w:val="24"/>
        </w:rPr>
      </w:pPr>
      <w:r>
        <w:rPr>
          <w:rFonts w:ascii="Calibri" w:hAnsi="Calibri"/>
          <w:sz w:val="24"/>
          <w:szCs w:val="24"/>
        </w:rPr>
        <w:t>FUNDAMENTAÇÃO E DESCRIÇÃO DA NECESSIDADE DA CONTRATAÇÃO</w:t>
      </w:r>
    </w:p>
    <w:p>
      <w:pPr>
        <w:pStyle w:val="Nvel02"/>
        <w:numPr>
          <w:ilvl w:val="1"/>
          <w:numId w:val="4"/>
        </w:numPr>
        <w:ind w:left="0" w:hanging="0"/>
        <w:rPr>
          <w:rFonts w:ascii="Calibri" w:hAnsi="Calibri"/>
          <w:sz w:val="24"/>
          <w:szCs w:val="24"/>
        </w:rPr>
      </w:pPr>
      <w:commentRangeStart w:id="6"/>
      <w:r>
        <w:rPr>
          <w:rFonts w:ascii="Calibri" w:hAnsi="Calibri"/>
          <w:sz w:val="24"/>
          <w:szCs w:val="24"/>
        </w:rPr>
        <w:t>A Fundamentação da Contratação e de seus quantitativos encontra-se pormenorizada em tópico específico dos Estudos Técnicos Preliminares, apêndice deste Termo de Referência.</w:t>
      </w:r>
      <w:bookmarkStart w:id="4" w:name="_Hlk170988156"/>
      <w:bookmarkEnd w:id="4"/>
      <w:commentRangeEnd w:id="6"/>
      <w:r>
        <w:commentReference w:id="6"/>
      </w:r>
      <w:r>
        <w:rPr>
          <w:rFonts w:ascii="Calibri" w:hAnsi="Calibri"/>
          <w:sz w:val="24"/>
          <w:szCs w:val="24"/>
        </w:rPr>
      </w:r>
    </w:p>
    <w:p>
      <w:pPr>
        <w:pStyle w:val="Nvel2Opcional1"/>
        <w:numPr>
          <w:ilvl w:val="0"/>
          <w:numId w:val="0"/>
        </w:numPr>
        <w:ind w:left="1709" w:hanging="0"/>
        <w:rPr>
          <w:rFonts w:ascii="Calibri" w:hAnsi="Calibri"/>
          <w:sz w:val="24"/>
          <w:szCs w:val="24"/>
        </w:rPr>
      </w:pPr>
      <w:r>
        <w:rPr>
          <w:rFonts w:ascii="Calibri" w:hAnsi="Calibri"/>
          <w:sz w:val="24"/>
          <w:szCs w:val="24"/>
        </w:rPr>
        <w:t xml:space="preserve"> </w:t>
      </w:r>
    </w:p>
    <w:p>
      <w:pPr>
        <w:pStyle w:val="Nvel2Opcional1"/>
        <w:widowControl/>
        <w:numPr>
          <w:ilvl w:val="1"/>
          <w:numId w:val="4"/>
        </w:numPr>
        <w:shd w:val="clear" w:color="auto" w:fill="auto"/>
        <w:tabs>
          <w:tab w:val="clear" w:pos="720"/>
          <w:tab w:val="left" w:pos="1305" w:leader="none"/>
        </w:tabs>
        <w:bidi w:val="0"/>
        <w:spacing w:lineRule="auto" w:line="276" w:before="120" w:after="120"/>
        <w:ind w:left="1247" w:right="0" w:hanging="680"/>
        <w:jc w:val="both"/>
        <w:rPr>
          <w:rFonts w:ascii="Calibri" w:hAnsi="Calibri" w:eastAsia="Arial" w:cs="Arial"/>
          <w:i w:val="false"/>
          <w:i w:val="false"/>
          <w:iCs/>
          <w:color w:val="auto"/>
          <w:sz w:val="24"/>
          <w:szCs w:val="24"/>
          <w:lang w:eastAsia="pt-BR"/>
        </w:rPr>
      </w:pPr>
      <w:r>
        <w:rPr>
          <w:rFonts w:eastAsia="Arial" w:cs="Arial" w:ascii="Calibri" w:hAnsi="Calibri"/>
          <w:i w:val="false"/>
          <w:iCs/>
          <w:color w:val="auto"/>
          <w:sz w:val="24"/>
          <w:szCs w:val="24"/>
          <w:lang w:eastAsia="pt-BR"/>
        </w:rPr>
        <w:t>O objeto da contratação está previsto no Plano de Contratações Anual 2025, conforme consta das informações básicas desse Termo de Referência.</w:t>
      </w:r>
    </w:p>
    <w:p>
      <w:pPr>
        <w:pStyle w:val="Nivel01"/>
        <w:numPr>
          <w:ilvl w:val="0"/>
          <w:numId w:val="4"/>
        </w:numPr>
        <w:ind w:left="357" w:hanging="357"/>
        <w:rPr>
          <w:rFonts w:ascii="Calibri" w:hAnsi="Calibri"/>
          <w:sz w:val="24"/>
          <w:szCs w:val="24"/>
        </w:rPr>
      </w:pPr>
      <w:r>
        <w:rPr>
          <w:rFonts w:ascii="Calibri" w:hAnsi="Calibri"/>
          <w:sz w:val="24"/>
          <w:szCs w:val="24"/>
        </w:rPr>
        <w:t>DESCRIÇÃO DA SOLUÇÃO COMO UM TODO CONSIDERADO O CICLO DE VIDA DO OBJETO E ESPECIFICAÇÃO DO PRODUTO</w:t>
      </w:r>
    </w:p>
    <w:p>
      <w:pPr>
        <w:pStyle w:val="Nvel02"/>
        <w:numPr>
          <w:ilvl w:val="1"/>
          <w:numId w:val="4"/>
        </w:numPr>
        <w:ind w:left="0" w:hanging="0"/>
        <w:rPr>
          <w:rFonts w:ascii="Calibri" w:hAnsi="Calibri"/>
          <w:sz w:val="24"/>
          <w:szCs w:val="24"/>
        </w:rPr>
      </w:pPr>
      <w:bookmarkStart w:id="5" w:name="_Ref121236534"/>
      <w:commentRangeStart w:id="7"/>
      <w:r>
        <w:rPr>
          <w:rFonts w:ascii="Calibri" w:hAnsi="Calibri"/>
          <w:sz w:val="24"/>
          <w:szCs w:val="24"/>
        </w:rPr>
        <w:t>A descrição da solução como um todo encontra-se pormenorizada em tópico específico dos Estudos Técnicos Preliminares, apêndice deste Termo de Referência.</w:t>
      </w:r>
      <w:bookmarkEnd w:id="5"/>
      <w:commentRangeEnd w:id="7"/>
      <w:r>
        <w:commentReference w:id="7"/>
      </w:r>
      <w:r>
        <w:rPr>
          <w:rFonts w:ascii="Calibri" w:hAnsi="Calibri"/>
          <w:sz w:val="24"/>
          <w:szCs w:val="24"/>
        </w:rPr>
      </w:r>
    </w:p>
    <w:p>
      <w:pPr>
        <w:pStyle w:val="Nivel01"/>
        <w:numPr>
          <w:ilvl w:val="0"/>
          <w:numId w:val="4"/>
        </w:numPr>
        <w:ind w:left="357" w:hanging="357"/>
        <w:rPr>
          <w:rFonts w:ascii="Calibri" w:hAnsi="Calibri"/>
          <w:sz w:val="24"/>
          <w:szCs w:val="24"/>
        </w:rPr>
      </w:pPr>
      <w:commentRangeStart w:id="8"/>
      <w:r>
        <w:rPr>
          <w:rFonts w:ascii="Calibri" w:hAnsi="Calibri"/>
          <w:sz w:val="24"/>
          <w:szCs w:val="24"/>
        </w:rPr>
        <w:t>REQUISITOS DA CONTRATAÇÃO</w:t>
      </w:r>
      <w:commentRangeEnd w:id="8"/>
      <w:r>
        <w:commentReference w:id="8"/>
      </w:r>
      <w:r>
        <w:rPr>
          <w:rFonts w:ascii="Calibri" w:hAnsi="Calibri"/>
          <w:sz w:val="24"/>
          <w:szCs w:val="24"/>
        </w:rPr>
      </w:r>
    </w:p>
    <w:p>
      <w:pPr>
        <w:pStyle w:val="Nvel1SemNum"/>
        <w:ind w:left="357" w:hanging="0"/>
        <w:rPr>
          <w:rFonts w:ascii="Calibri" w:hAnsi="Calibri" w:eastAsia="Arial" w:cs="Arial"/>
          <w:i w:val="false"/>
          <w:i w:val="false"/>
          <w:iCs/>
          <w:color w:val="auto"/>
          <w:sz w:val="24"/>
          <w:szCs w:val="24"/>
          <w:lang w:eastAsia="pt-BR"/>
        </w:rPr>
      </w:pPr>
      <w:commentRangeStart w:id="9"/>
      <w:r>
        <w:rPr>
          <w:rFonts w:eastAsia="Arial" w:cs="Arial" w:ascii="Calibri" w:hAnsi="Calibri"/>
          <w:i w:val="false"/>
          <w:iCs/>
          <w:color w:val="auto"/>
          <w:sz w:val="24"/>
          <w:szCs w:val="24"/>
          <w:lang w:eastAsia="pt-BR"/>
        </w:rPr>
        <w:t>Sustentabilidade</w:t>
      </w:r>
      <w:commentRangeEnd w:id="9"/>
      <w:r>
        <w:commentReference w:id="9"/>
      </w:r>
      <w:r>
        <w:rPr>
          <w:rFonts w:eastAsia="Arial" w:cs="Arial" w:ascii="Calibri" w:hAnsi="Calibri"/>
          <w:i w:val="false"/>
          <w:iCs/>
          <w:color w:val="auto"/>
          <w:sz w:val="24"/>
          <w:szCs w:val="24"/>
          <w:lang w:eastAsia="pt-BR"/>
        </w:rPr>
      </w:r>
    </w:p>
    <w:p>
      <w:pPr>
        <w:pStyle w:val="Nvel2Opcional1"/>
        <w:widowControl/>
        <w:numPr>
          <w:ilvl w:val="1"/>
          <w:numId w:val="4"/>
        </w:numPr>
        <w:shd w:val="clear" w:color="auto" w:fill="auto"/>
        <w:tabs>
          <w:tab w:val="clear" w:pos="720"/>
          <w:tab w:val="left" w:pos="855" w:leader="none"/>
        </w:tabs>
        <w:bidi w:val="0"/>
        <w:spacing w:lineRule="auto" w:line="276" w:before="120" w:after="120"/>
        <w:ind w:left="340" w:right="0" w:hanging="0"/>
        <w:jc w:val="both"/>
        <w:rPr>
          <w:rFonts w:ascii="Calibri" w:hAnsi="Calibri" w:eastAsia="Arial" w:cs="Arial"/>
          <w:i w:val="false"/>
          <w:i w:val="false"/>
          <w:iCs/>
          <w:color w:val="auto"/>
          <w:sz w:val="24"/>
          <w:szCs w:val="24"/>
          <w:lang w:eastAsia="pt-BR"/>
        </w:rPr>
      </w:pPr>
      <w:r>
        <w:rPr>
          <w:rFonts w:eastAsia="Arial" w:cs="Arial" w:ascii="Calibri" w:hAnsi="Calibri"/>
          <w:i w:val="false"/>
          <w:iCs/>
          <w:color w:val="auto"/>
          <w:sz w:val="24"/>
          <w:szCs w:val="24"/>
          <w:lang w:eastAsia="pt-BR"/>
        </w:rPr>
        <w:t>Além dos critérios de sustentabilidade eventualmente inseridos na descrição do objeto, devem ser atendidos os seguintes requisitos, que se baseiam no Guia Nacional de Contratações Sustentáveis:</w:t>
      </w:r>
    </w:p>
    <w:p>
      <w:pPr>
        <w:pStyle w:val="Nvel3Opcional1"/>
        <w:numPr>
          <w:ilvl w:val="2"/>
          <w:numId w:val="62"/>
        </w:numPr>
        <w:ind w:left="284" w:hanging="0"/>
        <w:rPr>
          <w:rFonts w:ascii="Calibri" w:hAnsi="Calibri" w:eastAsia="Arial" w:cs="Arial"/>
          <w:i w:val="false"/>
          <w:i w:val="false"/>
          <w:iCs/>
          <w:color w:val="auto"/>
          <w:sz w:val="24"/>
          <w:szCs w:val="24"/>
          <w:lang w:eastAsia="pt-BR"/>
        </w:rPr>
      </w:pPr>
      <w:r>
        <w:rPr>
          <w:rFonts w:eastAsia="Arial" w:cs="Arial" w:ascii="Calibri" w:hAnsi="Calibri"/>
          <w:i w:val="false"/>
          <w:iCs/>
          <w:color w:val="auto"/>
          <w:sz w:val="24"/>
          <w:szCs w:val="24"/>
          <w:lang w:eastAsia="pt-BR"/>
        </w:rPr>
        <w:t xml:space="preserve"> </w:t>
      </w:r>
      <w:r>
        <w:rPr>
          <w:rFonts w:eastAsia="Arial" w:cs="Arial" w:ascii="Calibri" w:hAnsi="Calibri"/>
          <w:b w:val="false"/>
          <w:bCs w:val="false"/>
          <w:i w:val="false"/>
          <w:iCs/>
          <w:color w:val="auto"/>
          <w:sz w:val="24"/>
          <w:szCs w:val="24"/>
          <w:lang w:eastAsia="pt-BR"/>
        </w:rPr>
        <w:t>Bens constituídos, no todo ou em parte, por material reciclado, atóxico, biodegradável, conforme ABNT NBR – 15448-1 e 15448-2</w:t>
      </w:r>
      <w:r>
        <w:rPr>
          <w:rFonts w:eastAsia="Arial" w:cs="Arial" w:ascii="Calibri" w:hAnsi="Calibri"/>
          <w:i w:val="false"/>
          <w:iCs/>
          <w:color w:val="auto"/>
          <w:sz w:val="24"/>
          <w:szCs w:val="24"/>
          <w:lang w:eastAsia="pt-BR"/>
        </w:rPr>
        <w:t>;</w:t>
      </w:r>
    </w:p>
    <w:p>
      <w:pPr>
        <w:pStyle w:val="Nvel3Opcional1"/>
        <w:numPr>
          <w:ilvl w:val="2"/>
          <w:numId w:val="63"/>
        </w:numPr>
        <w:ind w:left="284" w:hanging="0"/>
        <w:rPr>
          <w:rFonts w:ascii="Calibri" w:hAnsi="Calibri" w:eastAsia="Arial" w:cs="Arial"/>
          <w:i w:val="false"/>
          <w:i w:val="false"/>
          <w:iCs/>
          <w:color w:val="auto"/>
          <w:sz w:val="24"/>
          <w:szCs w:val="24"/>
          <w:lang w:eastAsia="pt-BR"/>
        </w:rPr>
      </w:pPr>
      <w:r>
        <w:rPr>
          <w:rFonts w:eastAsia="Arial" w:cs="Arial" w:ascii="Calibri" w:hAnsi="Calibri"/>
          <w:i w:val="false"/>
          <w:iCs/>
          <w:color w:val="auto"/>
          <w:sz w:val="24"/>
          <w:szCs w:val="24"/>
          <w:lang w:eastAsia="pt-BR"/>
        </w:rPr>
        <w:t xml:space="preserve"> </w:t>
      </w:r>
      <w:r>
        <w:rPr>
          <w:rFonts w:eastAsia="Arial" w:cs="Arial" w:ascii="Calibri" w:hAnsi="Calibri"/>
          <w:b w:val="false"/>
          <w:bCs w:val="false"/>
          <w:i w:val="false"/>
          <w:iCs/>
          <w:color w:val="auto"/>
          <w:sz w:val="24"/>
          <w:szCs w:val="24"/>
          <w:lang w:eastAsia="pt-BR"/>
        </w:rPr>
        <w:t>Que sejam observados os requisitos ambientais para a obtenção de certificação do instituto nacional de metrologia, normalização e qualidade industrial – INMETRO como produtos sustentáveis ou de menor impacto ambiental em relação aos seus similares;</w:t>
      </w:r>
    </w:p>
    <w:p>
      <w:pPr>
        <w:pStyle w:val="Nvel3Opcional1"/>
        <w:numPr>
          <w:ilvl w:val="2"/>
          <w:numId w:val="64"/>
        </w:numPr>
        <w:ind w:left="284" w:hanging="0"/>
        <w:rPr>
          <w:rFonts w:ascii="Calibri" w:hAnsi="Calibri" w:eastAsia="Arial" w:cs="Arial"/>
          <w:i w:val="false"/>
          <w:i w:val="false"/>
          <w:iCs/>
          <w:color w:val="auto"/>
          <w:sz w:val="24"/>
          <w:szCs w:val="24"/>
          <w:lang w:eastAsia="pt-BR"/>
        </w:rPr>
      </w:pPr>
      <w:r>
        <w:rPr>
          <w:rFonts w:eastAsia="Arial" w:cs="Arial" w:ascii="Calibri" w:hAnsi="Calibri"/>
          <w:i w:val="false"/>
          <w:iCs/>
          <w:color w:val="auto"/>
          <w:sz w:val="24"/>
          <w:szCs w:val="24"/>
          <w:lang w:eastAsia="pt-BR"/>
        </w:rPr>
        <w:t xml:space="preserve"> </w:t>
      </w:r>
      <w:r>
        <w:rPr>
          <w:rFonts w:eastAsia="Arial" w:cs="Arial" w:ascii="Calibri" w:hAnsi="Calibri"/>
          <w:i w:val="false"/>
          <w:iCs/>
          <w:color w:val="auto"/>
          <w:sz w:val="24"/>
          <w:szCs w:val="24"/>
          <w:lang w:eastAsia="pt-BR"/>
        </w:rPr>
        <w:t>Q</w:t>
      </w:r>
      <w:r>
        <w:rPr>
          <w:rFonts w:eastAsia="Arial" w:cs="Arial" w:ascii="Calibri" w:hAnsi="Calibri"/>
          <w:b w:val="false"/>
          <w:bCs w:val="false"/>
          <w:i w:val="false"/>
          <w:iCs/>
          <w:color w:val="000000"/>
          <w:sz w:val="24"/>
          <w:szCs w:val="24"/>
          <w:shd w:fill="FFFFFF" w:val="clear"/>
          <w:lang w:eastAsia="pt-BR"/>
        </w:rPr>
        <w:t>ue os bens devam ser, preferencialmente, acondicionados em embalagem individual adequada, com o menor volume possível, que utilize materiais recicláveis, de forma a garantir a máxima proteção durante o transporte e o armazenamento; e</w:t>
      </w:r>
    </w:p>
    <w:p>
      <w:pPr>
        <w:pStyle w:val="Nvel3Opcional1"/>
        <w:numPr>
          <w:ilvl w:val="2"/>
          <w:numId w:val="65"/>
        </w:numPr>
        <w:ind w:left="284" w:hanging="0"/>
        <w:rPr>
          <w:rFonts w:ascii="Calibri" w:hAnsi="Calibri"/>
          <w:sz w:val="24"/>
          <w:szCs w:val="24"/>
        </w:rPr>
      </w:pPr>
      <w:r>
        <w:rPr>
          <w:rFonts w:eastAsia="Arial" w:cs="Arial" w:ascii="Calibri" w:hAnsi="Calibri"/>
          <w:b w:val="false"/>
          <w:bCs w:val="false"/>
          <w:i w:val="false"/>
          <w:iCs/>
          <w:color w:val="000000"/>
          <w:sz w:val="24"/>
          <w:szCs w:val="24"/>
          <w:shd w:fill="FFFFFF" w:val="clear"/>
          <w:lang w:eastAsia="pt-BR"/>
        </w:rPr>
        <w:t xml:space="preserve"> </w:t>
      </w:r>
      <w:r>
        <w:rPr>
          <w:rFonts w:eastAsia="Arial" w:cs="Arial" w:ascii="Calibri" w:hAnsi="Calibri"/>
          <w:b w:val="false"/>
          <w:bCs w:val="false"/>
          <w:i w:val="false"/>
          <w:iCs/>
          <w:color w:val="000000"/>
          <w:sz w:val="24"/>
          <w:szCs w:val="24"/>
          <w:shd w:fill="FFFFFF" w:val="clear"/>
          <w:lang w:eastAsia="pt-BR"/>
        </w:rPr>
        <w:t>Que os bens não contenham substâncias perigosas em concentração acima da recomendada na diretiva RoHS (Restriction of Certain Hazardous Substances), tais como mercúrio (Hg), chumbo (Pb), cromo hexavalente (Cr(VI)), cádmio (Cd), bifenilpolibromados (PBBs), éteres difenil-polibromados (PBDEs)</w:t>
      </w:r>
    </w:p>
    <w:p>
      <w:pPr>
        <w:pStyle w:val="Nvel1SemNumerao"/>
        <w:ind w:left="357" w:hanging="0"/>
        <w:rPr>
          <w:rFonts w:ascii="Calibri" w:hAnsi="Calibri"/>
          <w:sz w:val="24"/>
          <w:szCs w:val="24"/>
        </w:rPr>
      </w:pPr>
      <w:r>
        <w:rPr>
          <w:rFonts w:ascii="Calibri" w:hAnsi="Calibri"/>
          <w:sz w:val="24"/>
          <w:szCs w:val="24"/>
        </w:rPr>
        <w:t>Subcontratação</w:t>
      </w:r>
    </w:p>
    <w:p>
      <w:pPr>
        <w:pStyle w:val="Nvel2Opcional1"/>
        <w:widowControl/>
        <w:numPr>
          <w:ilvl w:val="1"/>
          <w:numId w:val="4"/>
        </w:numPr>
        <w:shd w:val="clear" w:color="auto" w:fill="auto"/>
        <w:tabs>
          <w:tab w:val="clear" w:pos="720"/>
          <w:tab w:val="left" w:pos="1410" w:leader="none"/>
        </w:tabs>
        <w:bidi w:val="0"/>
        <w:spacing w:lineRule="auto" w:line="276" w:before="120" w:after="120"/>
        <w:ind w:left="907" w:right="0" w:hanging="454"/>
        <w:jc w:val="both"/>
        <w:rPr>
          <w:rFonts w:ascii="Calibri" w:hAnsi="Calibri"/>
          <w:i w:val="false"/>
          <w:i w:val="false"/>
          <w:iCs w:val="false"/>
          <w:color w:val="auto"/>
          <w:sz w:val="24"/>
          <w:szCs w:val="24"/>
        </w:rPr>
      </w:pPr>
      <w:commentRangeStart w:id="10"/>
      <w:r>
        <w:rPr>
          <w:rFonts w:ascii="Calibri" w:hAnsi="Calibri"/>
          <w:i w:val="false"/>
          <w:iCs w:val="false"/>
          <w:color w:val="auto"/>
          <w:sz w:val="24"/>
          <w:szCs w:val="24"/>
        </w:rPr>
        <w:t>Não será admitida a subcontratação do objeto contratual.</w:t>
      </w:r>
      <w:commentRangeEnd w:id="10"/>
      <w:r>
        <w:commentReference w:id="10"/>
      </w:r>
      <w:r>
        <w:rPr>
          <w:rFonts w:ascii="Calibri" w:hAnsi="Calibri"/>
          <w:i w:val="false"/>
          <w:iCs w:val="false"/>
          <w:color w:val="auto"/>
          <w:sz w:val="24"/>
          <w:szCs w:val="24"/>
        </w:rPr>
      </w:r>
    </w:p>
    <w:p>
      <w:pPr>
        <w:pStyle w:val="Nvel1SemNumerao"/>
        <w:ind w:left="357" w:hanging="0"/>
        <w:rPr>
          <w:rFonts w:ascii="Calibri" w:hAnsi="Calibri"/>
          <w:sz w:val="24"/>
          <w:szCs w:val="24"/>
        </w:rPr>
      </w:pPr>
      <w:commentRangeStart w:id="11"/>
      <w:r>
        <w:rPr>
          <w:rFonts w:ascii="Calibri" w:hAnsi="Calibri"/>
          <w:sz w:val="24"/>
          <w:szCs w:val="24"/>
        </w:rPr>
        <w:t>Garantia da contratação</w:t>
      </w:r>
      <w:commentRangeEnd w:id="11"/>
      <w:r>
        <w:commentReference w:id="11"/>
      </w:r>
      <w:r>
        <w:rPr>
          <w:rFonts w:ascii="Calibri" w:hAnsi="Calibri"/>
          <w:sz w:val="24"/>
          <w:szCs w:val="24"/>
        </w:rPr>
      </w:r>
    </w:p>
    <w:p>
      <w:pPr>
        <w:pStyle w:val="Nvel2Opcional1"/>
        <w:widowControl/>
        <w:numPr>
          <w:ilvl w:val="1"/>
          <w:numId w:val="4"/>
        </w:numPr>
        <w:shd w:val="clear" w:color="auto" w:fill="auto"/>
        <w:bidi w:val="0"/>
        <w:spacing w:lineRule="auto" w:line="276" w:before="120" w:after="120"/>
        <w:ind w:left="907" w:right="0" w:hanging="454"/>
        <w:jc w:val="both"/>
        <w:rPr>
          <w:rFonts w:ascii="Calibri" w:hAnsi="Calibri"/>
          <w:sz w:val="24"/>
          <w:szCs w:val="24"/>
        </w:rPr>
      </w:pPr>
      <w:bookmarkStart w:id="6" w:name="_Hlk170740922"/>
      <w:r>
        <w:rPr>
          <w:rFonts w:eastAsia="Arial" w:cs="Arial" w:ascii="Calibri" w:hAnsi="Calibri"/>
          <w:i w:val="false"/>
          <w:iCs w:val="false"/>
          <w:color w:val="auto"/>
          <w:sz w:val="24"/>
          <w:szCs w:val="24"/>
          <w:lang w:eastAsia="pt-BR"/>
        </w:rPr>
        <w:t>Não haverá exigência da garantia da contratação dos art. 96 e seguintes da Lei nº 14.133, de 2021, pelas razões constantes do Estudo Técnico Preliminar.</w:t>
      </w:r>
      <w:bookmarkEnd w:id="6"/>
    </w:p>
    <w:p>
      <w:pPr>
        <w:pStyle w:val="Nivel01"/>
        <w:numPr>
          <w:ilvl w:val="0"/>
          <w:numId w:val="0"/>
        </w:numPr>
        <w:ind w:left="0" w:hanging="0"/>
        <w:rPr>
          <w:rFonts w:ascii="Calibri" w:hAnsi="Calibri"/>
          <w:sz w:val="24"/>
          <w:szCs w:val="24"/>
        </w:rPr>
      </w:pPr>
      <w:r>
        <w:rPr>
          <w:rFonts w:ascii="Calibri" w:hAnsi="Calibri"/>
          <w:sz w:val="24"/>
          <w:szCs w:val="24"/>
        </w:rPr>
        <w:t>Reserva de cotas para microempresas e empresas de pequeno porte:</w:t>
      </w:r>
    </w:p>
    <w:p>
      <w:pPr>
        <w:pStyle w:val="Nvel2Opcional1"/>
        <w:widowControl/>
        <w:numPr>
          <w:ilvl w:val="1"/>
          <w:numId w:val="4"/>
        </w:numPr>
        <w:shd w:val="clear" w:color="auto" w:fill="auto"/>
        <w:bidi w:val="0"/>
        <w:spacing w:lineRule="auto" w:line="276" w:before="120" w:after="120"/>
        <w:ind w:left="964" w:right="0" w:hanging="454"/>
        <w:jc w:val="both"/>
        <w:rPr>
          <w:rFonts w:ascii="Calibri" w:hAnsi="Calibri"/>
          <w:i w:val="false"/>
          <w:i w:val="false"/>
          <w:iCs w:val="false"/>
          <w:color w:val="auto"/>
          <w:sz w:val="24"/>
          <w:szCs w:val="24"/>
        </w:rPr>
      </w:pPr>
      <w:r>
        <w:rPr>
          <w:rFonts w:ascii="Calibri" w:hAnsi="Calibri"/>
          <w:i w:val="false"/>
          <w:iCs w:val="false"/>
          <w:color w:val="auto"/>
          <w:sz w:val="24"/>
          <w:szCs w:val="24"/>
        </w:rPr>
        <w:t>Na presente licitação, será realizada a reserva de cota de até vinte e cinco por cento do objeto para a contratação de microempresas e empresas de pequeno porte.</w:t>
      </w:r>
    </w:p>
    <w:p>
      <w:pPr>
        <w:pStyle w:val="Nvel3Opcional1"/>
        <w:numPr>
          <w:ilvl w:val="2"/>
          <w:numId w:val="66"/>
        </w:numPr>
        <w:ind w:left="284" w:hanging="0"/>
        <w:rPr>
          <w:rFonts w:ascii="Calibri" w:hAnsi="Calibri"/>
          <w:i w:val="false"/>
          <w:i w:val="false"/>
          <w:iCs w:val="false"/>
          <w:color w:val="auto"/>
          <w:sz w:val="24"/>
          <w:szCs w:val="24"/>
        </w:rPr>
      </w:pPr>
      <w:r>
        <w:rPr>
          <w:rFonts w:ascii="Calibri" w:hAnsi="Calibri"/>
          <w:i w:val="false"/>
          <w:iCs w:val="false"/>
          <w:color w:val="auto"/>
          <w:sz w:val="24"/>
          <w:szCs w:val="24"/>
        </w:rPr>
        <w:t xml:space="preserve"> </w:t>
      </w:r>
      <w:r>
        <w:rPr>
          <w:rFonts w:ascii="Calibri" w:hAnsi="Calibri"/>
          <w:i w:val="false"/>
          <w:iCs w:val="false"/>
          <w:color w:val="auto"/>
          <w:sz w:val="24"/>
          <w:szCs w:val="24"/>
        </w:rPr>
        <w:t xml:space="preserve">Na hipótese de não haver vencedor para a cota reservada, esta poderá ser adjudicada ao vencedor da cota principal ou, diante de sua recusa, aos fornecedores remanescentes, desde que pratiquem o preço do primeiro colocado da cota </w:t>
      </w:r>
      <w:commentRangeStart w:id="12"/>
      <w:r>
        <w:rPr>
          <w:rFonts w:ascii="Calibri" w:hAnsi="Calibri"/>
          <w:i w:val="false"/>
          <w:iCs w:val="false"/>
          <w:color w:val="auto"/>
          <w:sz w:val="24"/>
          <w:szCs w:val="24"/>
        </w:rPr>
        <w:t>principal</w:t>
      </w:r>
      <w:r>
        <w:rPr>
          <w:rFonts w:ascii="Calibri" w:hAnsi="Calibri"/>
          <w:i w:val="false"/>
          <w:iCs w:val="false"/>
          <w:color w:val="auto"/>
          <w:sz w:val="24"/>
          <w:szCs w:val="24"/>
        </w:rPr>
      </w:r>
      <w:commentRangeEnd w:id="12"/>
      <w:r>
        <w:commentReference w:id="12"/>
      </w:r>
      <w:r>
        <w:rPr>
          <w:rFonts w:ascii="Calibri" w:hAnsi="Calibri"/>
          <w:i w:val="false"/>
          <w:iCs w:val="false"/>
          <w:color w:val="auto"/>
          <w:sz w:val="24"/>
          <w:szCs w:val="24"/>
        </w:rPr>
        <w:t>.</w:t>
      </w:r>
    </w:p>
    <w:p>
      <w:pPr>
        <w:pStyle w:val="Nvel3Opcional1"/>
        <w:numPr>
          <w:ilvl w:val="2"/>
          <w:numId w:val="67"/>
        </w:numPr>
        <w:ind w:left="284" w:hanging="0"/>
        <w:rPr>
          <w:rFonts w:ascii="Calibri" w:hAnsi="Calibri"/>
          <w:i w:val="false"/>
          <w:i w:val="false"/>
          <w:iCs w:val="false"/>
          <w:color w:val="auto"/>
          <w:sz w:val="24"/>
          <w:szCs w:val="24"/>
        </w:rPr>
      </w:pPr>
      <w:r>
        <w:rPr>
          <w:rFonts w:ascii="Calibri" w:hAnsi="Calibri"/>
          <w:i w:val="false"/>
          <w:iCs w:val="false"/>
          <w:color w:val="auto"/>
          <w:sz w:val="24"/>
          <w:szCs w:val="24"/>
        </w:rPr>
        <w:t>Se a mesma empresa vencer a cota reservada e a cota principal, a contratação das cotas deverá ocorrer pelo menor preço.</w:t>
      </w:r>
    </w:p>
    <w:p>
      <w:pPr>
        <w:pStyle w:val="Nvel3Opcional1"/>
        <w:numPr>
          <w:ilvl w:val="2"/>
          <w:numId w:val="68"/>
        </w:numPr>
        <w:ind w:left="284" w:hanging="0"/>
        <w:rPr>
          <w:rFonts w:ascii="Calibri" w:hAnsi="Calibri"/>
          <w:i w:val="false"/>
          <w:i w:val="false"/>
          <w:iCs w:val="false"/>
          <w:color w:val="auto"/>
          <w:sz w:val="24"/>
          <w:szCs w:val="24"/>
        </w:rPr>
      </w:pPr>
      <w:r>
        <w:rPr>
          <w:rFonts w:ascii="Calibri" w:hAnsi="Calibri"/>
          <w:i w:val="false"/>
          <w:iCs w:val="false"/>
          <w:color w:val="auto"/>
          <w:sz w:val="24"/>
          <w:szCs w:val="24"/>
        </w:rPr>
        <w:t>Será dada a prioridade de aquisição aos produtos das cotas reservadas quando forem adjudicados aos licitantes qualificados como microempresas ou empresas de pequeno porte, ressalvados os casos em que a cota reservada for inadequada para atender as quantidades ou as condições do pedido, conforme vier a ser decidido pela Administração, nos termos do art. 8º, §4º, do Decreto n. 8.538, de 2015.</w:t>
      </w:r>
    </w:p>
    <w:p>
      <w:pPr>
        <w:pStyle w:val="Nivel01"/>
        <w:numPr>
          <w:ilvl w:val="0"/>
          <w:numId w:val="4"/>
        </w:numPr>
        <w:ind w:left="357" w:hanging="357"/>
        <w:rPr>
          <w:rFonts w:ascii="Calibri" w:hAnsi="Calibri"/>
          <w:i w:val="false"/>
          <w:i w:val="false"/>
          <w:iCs w:val="false"/>
          <w:color w:val="auto"/>
          <w:sz w:val="24"/>
          <w:szCs w:val="24"/>
        </w:rPr>
      </w:pPr>
      <w:commentRangeStart w:id="13"/>
      <w:r>
        <w:rPr>
          <w:rFonts w:ascii="Calibri" w:hAnsi="Calibri"/>
          <w:i w:val="false"/>
          <w:iCs w:val="false"/>
          <w:color w:val="auto"/>
          <w:sz w:val="24"/>
          <w:szCs w:val="24"/>
        </w:rPr>
        <w:t xml:space="preserve">MODELO </w:t>
      </w:r>
      <w:r>
        <w:rPr>
          <w:rFonts w:ascii="Calibri" w:hAnsi="Calibri"/>
          <w:i w:val="false"/>
          <w:iCs w:val="false"/>
          <w:color w:val="auto"/>
          <w:sz w:val="24"/>
          <w:szCs w:val="24"/>
        </w:rPr>
      </w:r>
      <w:commentRangeEnd w:id="13"/>
      <w:r>
        <w:commentReference w:id="13"/>
      </w:r>
      <w:r>
        <w:rPr>
          <w:rFonts w:ascii="Calibri" w:hAnsi="Calibri"/>
          <w:i w:val="false"/>
          <w:iCs w:val="false"/>
          <w:color w:val="auto"/>
          <w:sz w:val="24"/>
          <w:szCs w:val="24"/>
        </w:rPr>
        <w:t>DE EXECUÇÃO DO OBJETO</w:t>
      </w:r>
    </w:p>
    <w:p>
      <w:pPr>
        <w:pStyle w:val="Nvel1SemNumerao"/>
        <w:ind w:left="357" w:hanging="0"/>
        <w:rPr>
          <w:rFonts w:ascii="Calibri" w:hAnsi="Calibri"/>
          <w:i w:val="false"/>
          <w:i w:val="false"/>
          <w:iCs w:val="false"/>
          <w:color w:val="auto"/>
          <w:sz w:val="24"/>
          <w:szCs w:val="24"/>
        </w:rPr>
      </w:pPr>
      <w:r>
        <w:rPr>
          <w:rFonts w:ascii="Calibri" w:hAnsi="Calibri"/>
          <w:i w:val="false"/>
          <w:iCs w:val="false"/>
          <w:color w:val="auto"/>
          <w:sz w:val="24"/>
          <w:szCs w:val="24"/>
        </w:rPr>
        <w:t>Condições de Entrega</w:t>
      </w:r>
    </w:p>
    <w:p>
      <w:pPr>
        <w:pStyle w:val="Nvel2Opcional1"/>
        <w:widowControl/>
        <w:numPr>
          <w:ilvl w:val="1"/>
          <w:numId w:val="4"/>
        </w:numPr>
        <w:shd w:val="clear" w:color="auto" w:fill="auto"/>
        <w:bidi w:val="0"/>
        <w:spacing w:lineRule="auto" w:line="276" w:before="120" w:after="120"/>
        <w:ind w:left="567" w:right="0" w:hanging="0"/>
        <w:jc w:val="both"/>
        <w:rPr>
          <w:rFonts w:ascii="Calibri" w:hAnsi="Calibri"/>
          <w:i w:val="false"/>
          <w:i w:val="false"/>
          <w:iCs w:val="false"/>
          <w:color w:val="auto"/>
          <w:sz w:val="24"/>
          <w:szCs w:val="24"/>
        </w:rPr>
      </w:pPr>
      <w:r>
        <w:rPr>
          <w:rFonts w:ascii="Calibri" w:hAnsi="Calibri"/>
          <w:b w:val="false"/>
          <w:bCs w:val="false"/>
          <w:i w:val="false"/>
          <w:iCs w:val="false"/>
          <w:color w:val="auto"/>
          <w:sz w:val="24"/>
          <w:szCs w:val="24"/>
        </w:rPr>
        <w:t>O prazo de entrega dos bens é de 60 (sessenta) dias, contados do envio da nota de empenho, em remessa única</w:t>
      </w:r>
    </w:p>
    <w:p>
      <w:pPr>
        <w:pStyle w:val="Nvel2Opcional1"/>
        <w:widowControl/>
        <w:numPr>
          <w:ilvl w:val="1"/>
          <w:numId w:val="4"/>
        </w:numPr>
        <w:shd w:val="clear" w:color="auto" w:fill="auto"/>
        <w:bidi w:val="0"/>
        <w:spacing w:lineRule="auto" w:line="276" w:before="120" w:after="120"/>
        <w:ind w:left="567" w:right="0" w:hanging="0"/>
        <w:jc w:val="both"/>
        <w:rPr>
          <w:rFonts w:ascii="Calibri" w:hAnsi="Calibri"/>
          <w:i w:val="false"/>
          <w:i w:val="false"/>
          <w:iCs w:val="false"/>
          <w:color w:val="auto"/>
          <w:sz w:val="24"/>
          <w:szCs w:val="24"/>
        </w:rPr>
      </w:pPr>
      <w:r>
        <w:rPr>
          <w:rFonts w:ascii="Calibri" w:hAnsi="Calibri"/>
          <w:i w:val="false"/>
          <w:iCs w:val="false"/>
          <w:color w:val="auto"/>
          <w:sz w:val="24"/>
          <w:szCs w:val="24"/>
        </w:rPr>
        <w:t xml:space="preserve">Caso não seja possível a entrega na data assinalada, a empresa deverá comunicar as razões respectivas com pelo menos </w:t>
      </w:r>
      <w:r>
        <w:rPr>
          <w:rFonts w:ascii="Calibri" w:hAnsi="Calibri"/>
          <w:b w:val="false"/>
          <w:bCs w:val="false"/>
          <w:i w:val="false"/>
          <w:iCs w:val="false"/>
          <w:color w:val="auto"/>
          <w:sz w:val="24"/>
          <w:szCs w:val="24"/>
        </w:rPr>
        <w:t>10 (</w:t>
      </w:r>
      <w:r>
        <w:rPr>
          <w:rFonts w:eastAsia="Arial" w:cs="Arial" w:ascii="Calibri" w:hAnsi="Calibri"/>
          <w:b w:val="false"/>
          <w:bCs w:val="false"/>
          <w:i w:val="false"/>
          <w:iCs w:val="false"/>
          <w:color w:val="auto"/>
          <w:sz w:val="24"/>
          <w:szCs w:val="24"/>
          <w:lang w:eastAsia="pt-BR"/>
        </w:rPr>
        <w:t>dez</w:t>
      </w:r>
      <w:r>
        <w:rPr>
          <w:rFonts w:ascii="Calibri" w:hAnsi="Calibri"/>
          <w:b w:val="false"/>
          <w:bCs w:val="false"/>
          <w:i w:val="false"/>
          <w:iCs w:val="false"/>
          <w:color w:val="auto"/>
          <w:sz w:val="24"/>
          <w:szCs w:val="24"/>
        </w:rPr>
        <w:t>)</w:t>
      </w:r>
      <w:r>
        <w:rPr>
          <w:rFonts w:ascii="Calibri" w:hAnsi="Calibri"/>
          <w:i w:val="false"/>
          <w:iCs w:val="false"/>
          <w:color w:val="auto"/>
          <w:sz w:val="24"/>
          <w:szCs w:val="24"/>
        </w:rPr>
        <w:t xml:space="preserve"> dias de antecedência para que qualquer pleito de prorrogação de prazo seja analisado, ressalvadas situações de caso fortuito e força maior.</w:t>
      </w:r>
    </w:p>
    <w:p>
      <w:pPr>
        <w:pStyle w:val="Nvel2Opcional1"/>
        <w:widowControl/>
        <w:numPr>
          <w:ilvl w:val="1"/>
          <w:numId w:val="4"/>
        </w:numPr>
        <w:shd w:val="clear" w:color="auto" w:fill="auto"/>
        <w:tabs>
          <w:tab w:val="clear" w:pos="720"/>
          <w:tab w:val="left" w:pos="1305" w:leader="none"/>
        </w:tabs>
        <w:bidi w:val="0"/>
        <w:spacing w:lineRule="auto" w:line="276" w:before="120" w:after="120"/>
        <w:ind w:left="624" w:right="0" w:hanging="0"/>
        <w:jc w:val="both"/>
        <w:rPr>
          <w:rFonts w:ascii="Calibri" w:hAnsi="Calibri"/>
          <w:i w:val="false"/>
          <w:i w:val="false"/>
          <w:iCs w:val="false"/>
          <w:color w:val="auto"/>
          <w:sz w:val="24"/>
          <w:szCs w:val="24"/>
        </w:rPr>
      </w:pPr>
      <w:r>
        <w:rPr>
          <w:rFonts w:ascii="Calibri" w:hAnsi="Calibri"/>
          <w:b w:val="false"/>
          <w:bCs w:val="false"/>
          <w:i w:val="false"/>
          <w:iCs w:val="false"/>
          <w:color w:val="auto"/>
          <w:sz w:val="24"/>
          <w:szCs w:val="24"/>
        </w:rPr>
        <w:t>Os bens deverão ser entregues no seguinte endereço: Av. Celso Porfírio Machado, 1100 – Belvedere, Belo Horizonte – MG, 30320-400, de segunda a sexta-feira, de 08:00 às 16:00 horas.</w:t>
      </w:r>
    </w:p>
    <w:p>
      <w:pPr>
        <w:pStyle w:val="Nvel1SemNumerao"/>
        <w:ind w:left="357" w:hanging="0"/>
        <w:rPr>
          <w:rFonts w:ascii="Calibri" w:hAnsi="Calibri"/>
          <w:i w:val="false"/>
          <w:i w:val="false"/>
          <w:iCs w:val="false"/>
          <w:color w:val="auto"/>
          <w:sz w:val="24"/>
          <w:szCs w:val="24"/>
        </w:rPr>
      </w:pPr>
      <w:commentRangeStart w:id="14"/>
      <w:r>
        <w:rPr>
          <w:rFonts w:ascii="Calibri" w:hAnsi="Calibri"/>
          <w:i w:val="false"/>
          <w:iCs w:val="false"/>
          <w:color w:val="auto"/>
          <w:sz w:val="24"/>
          <w:szCs w:val="24"/>
        </w:rPr>
        <w:t>Garantia, manutenção e assistência técnica</w:t>
      </w:r>
      <w:commentRangeEnd w:id="14"/>
      <w:r>
        <w:commentReference w:id="14"/>
      </w:r>
      <w:r>
        <w:rPr>
          <w:rFonts w:ascii="Calibri" w:hAnsi="Calibri"/>
          <w:i w:val="false"/>
          <w:iCs w:val="false"/>
          <w:color w:val="auto"/>
          <w:sz w:val="24"/>
          <w:szCs w:val="24"/>
        </w:rPr>
      </w:r>
    </w:p>
    <w:p>
      <w:pPr>
        <w:pStyle w:val="Nvel2Opcional1"/>
        <w:widowControl/>
        <w:numPr>
          <w:ilvl w:val="1"/>
          <w:numId w:val="4"/>
        </w:numPr>
        <w:shd w:val="clear" w:color="auto" w:fill="auto"/>
        <w:bidi w:val="0"/>
        <w:spacing w:lineRule="auto" w:line="276" w:before="120" w:after="120"/>
        <w:ind w:left="567" w:right="0" w:hanging="0"/>
        <w:jc w:val="both"/>
        <w:rPr>
          <w:rFonts w:ascii="Calibri" w:hAnsi="Calibri"/>
          <w:i w:val="false"/>
          <w:i w:val="false"/>
          <w:iCs w:val="false"/>
          <w:color w:val="auto"/>
          <w:sz w:val="24"/>
          <w:szCs w:val="24"/>
        </w:rPr>
      </w:pPr>
      <w:commentRangeStart w:id="15"/>
      <w:r>
        <w:rPr>
          <w:rFonts w:ascii="Calibri" w:hAnsi="Calibri"/>
          <w:i w:val="false"/>
          <w:iCs w:val="false"/>
          <w:color w:val="auto"/>
          <w:sz w:val="24"/>
          <w:szCs w:val="24"/>
        </w:rPr>
        <w:t xml:space="preserve">O prazo de garantia contratual dos bens, complementar à garantia legal, será de, no mínimo, </w:t>
      </w:r>
      <w:r>
        <w:rPr>
          <w:rFonts w:eastAsia="Arial" w:cs="Arial" w:ascii="Calibri" w:hAnsi="Calibri"/>
          <w:i w:val="false"/>
          <w:iCs w:val="false"/>
          <w:color w:val="auto"/>
          <w:sz w:val="24"/>
          <w:szCs w:val="24"/>
          <w:lang w:eastAsia="pt-BR"/>
        </w:rPr>
        <w:t>6</w:t>
      </w:r>
      <w:r>
        <w:rPr>
          <w:rFonts w:ascii="Calibri" w:hAnsi="Calibri"/>
          <w:i w:val="false"/>
          <w:iCs w:val="false"/>
          <w:color w:val="auto"/>
          <w:sz w:val="24"/>
          <w:szCs w:val="24"/>
        </w:rPr>
        <w:t xml:space="preserve"> (</w:t>
      </w:r>
      <w:r>
        <w:rPr>
          <w:rFonts w:eastAsia="Arial" w:cs="Arial" w:ascii="Calibri" w:hAnsi="Calibri"/>
          <w:i w:val="false"/>
          <w:iCs w:val="false"/>
          <w:color w:val="auto"/>
          <w:sz w:val="24"/>
          <w:szCs w:val="24"/>
          <w:lang w:eastAsia="pt-BR"/>
        </w:rPr>
        <w:t>seis</w:t>
      </w:r>
      <w:r>
        <w:rPr>
          <w:rFonts w:ascii="Calibri" w:hAnsi="Calibri"/>
          <w:i w:val="false"/>
          <w:iCs w:val="false"/>
          <w:color w:val="auto"/>
          <w:sz w:val="24"/>
          <w:szCs w:val="24"/>
        </w:rPr>
        <w:t xml:space="preserve">) meses, ou pelo prazo fornecido pelo fabricante, se superior, contado a partir do primeiro dia útil subsequente à data do recebimento definitivo do objeto. </w:t>
      </w:r>
    </w:p>
    <w:p>
      <w:pPr>
        <w:pStyle w:val="Nvel2Opcional1"/>
        <w:widowControl/>
        <w:numPr>
          <w:ilvl w:val="1"/>
          <w:numId w:val="4"/>
        </w:numPr>
        <w:shd w:val="clear" w:color="auto" w:fill="auto"/>
        <w:bidi w:val="0"/>
        <w:spacing w:lineRule="auto" w:line="276" w:before="120" w:after="120"/>
        <w:ind w:left="567" w:right="0" w:hanging="0"/>
        <w:jc w:val="both"/>
        <w:rPr>
          <w:rFonts w:ascii="Calibri" w:hAnsi="Calibri"/>
          <w:i w:val="false"/>
          <w:i w:val="false"/>
          <w:iCs w:val="false"/>
          <w:color w:val="auto"/>
          <w:sz w:val="24"/>
          <w:szCs w:val="24"/>
        </w:rPr>
      </w:pPr>
      <w:r>
        <w:rPr>
          <w:rFonts w:ascii="Calibri" w:hAnsi="Calibri"/>
          <w:i w:val="false"/>
          <w:iCs w:val="false"/>
          <w:color w:val="auto"/>
          <w:sz w:val="24"/>
          <w:szCs w:val="24"/>
        </w:rPr>
        <w:t xml:space="preserve">Caso o prazo da garantia oferecida pelo fabricante seja inferior ao estabelecido nesta cláusula, o fornecedor deverá complementar a garantia do bem ofertado pelo período restante. </w:t>
      </w:r>
      <w:bookmarkStart w:id="7" w:name="_Hlk175669127"/>
      <w:bookmarkStart w:id="8" w:name="_Hlk175683455"/>
      <w:bookmarkEnd w:id="7"/>
      <w:bookmarkEnd w:id="8"/>
      <w:commentRangeEnd w:id="15"/>
      <w:r>
        <w:commentReference w:id="15"/>
      </w:r>
      <w:r>
        <w:rPr>
          <w:rFonts w:ascii="Calibri" w:hAnsi="Calibri"/>
          <w:i w:val="false"/>
          <w:iCs w:val="false"/>
          <w:color w:val="auto"/>
          <w:sz w:val="24"/>
          <w:szCs w:val="24"/>
        </w:rPr>
      </w:r>
    </w:p>
    <w:p>
      <w:pPr>
        <w:pStyle w:val="Nvel2Opcional1"/>
        <w:widowControl/>
        <w:numPr>
          <w:ilvl w:val="1"/>
          <w:numId w:val="4"/>
        </w:numPr>
        <w:shd w:val="clear" w:color="auto" w:fill="auto"/>
        <w:bidi w:val="0"/>
        <w:spacing w:lineRule="auto" w:line="276" w:before="120" w:after="120"/>
        <w:ind w:left="567" w:right="0" w:hanging="0"/>
        <w:jc w:val="both"/>
        <w:rPr>
          <w:rFonts w:ascii="Calibri" w:hAnsi="Calibri"/>
          <w:i w:val="false"/>
          <w:i w:val="false"/>
          <w:iCs w:val="false"/>
          <w:color w:val="auto"/>
          <w:sz w:val="24"/>
          <w:szCs w:val="24"/>
        </w:rPr>
      </w:pPr>
      <w:r>
        <w:rPr>
          <w:rFonts w:ascii="Calibri" w:hAnsi="Calibri"/>
          <w:i w:val="false"/>
          <w:iCs w:val="false"/>
          <w:color w:val="auto"/>
          <w:sz w:val="24"/>
          <w:szCs w:val="24"/>
        </w:rPr>
        <w:t xml:space="preserve">A garantia será prestada com vistas a manter os equipamentos fornecidos em perfeitas condições de uso, sem qualquer ônus ou custo adicional para o Contratante. </w:t>
      </w:r>
    </w:p>
    <w:p>
      <w:pPr>
        <w:pStyle w:val="Nvel2Opcional1"/>
        <w:widowControl/>
        <w:numPr>
          <w:ilvl w:val="1"/>
          <w:numId w:val="4"/>
        </w:numPr>
        <w:shd w:val="clear" w:color="auto" w:fill="auto"/>
        <w:bidi w:val="0"/>
        <w:spacing w:lineRule="auto" w:line="276" w:before="120" w:after="120"/>
        <w:ind w:left="567" w:right="0" w:hanging="0"/>
        <w:jc w:val="both"/>
        <w:rPr>
          <w:rFonts w:ascii="Calibri" w:hAnsi="Calibri"/>
          <w:i w:val="false"/>
          <w:i w:val="false"/>
          <w:iCs w:val="false"/>
          <w:color w:val="auto"/>
          <w:sz w:val="24"/>
          <w:szCs w:val="24"/>
        </w:rPr>
      </w:pPr>
      <w:r>
        <w:rPr>
          <w:rFonts w:ascii="Calibri" w:hAnsi="Calibri"/>
          <w:i w:val="false"/>
          <w:iCs w:val="false"/>
          <w:color w:val="auto"/>
          <w:sz w:val="24"/>
          <w:szCs w:val="24"/>
        </w:rPr>
        <w:t xml:space="preserve">A garantia abrange a realização da manutenção corretiva dos bens pelo próprio Contratado, ou, se for o caso, por meio de assistência técnica autorizada, de acordo com as normas técnicas específicas. </w:t>
      </w:r>
    </w:p>
    <w:p>
      <w:pPr>
        <w:pStyle w:val="Nvel2Opcional1"/>
        <w:widowControl/>
        <w:numPr>
          <w:ilvl w:val="1"/>
          <w:numId w:val="4"/>
        </w:numPr>
        <w:shd w:val="clear" w:color="auto" w:fill="auto"/>
        <w:bidi w:val="0"/>
        <w:spacing w:lineRule="auto" w:line="276" w:before="120" w:after="120"/>
        <w:ind w:left="624" w:right="0" w:hanging="0"/>
        <w:jc w:val="both"/>
        <w:rPr>
          <w:rFonts w:ascii="Calibri" w:hAnsi="Calibri"/>
          <w:i w:val="false"/>
          <w:i w:val="false"/>
          <w:iCs w:val="false"/>
          <w:color w:val="auto"/>
          <w:sz w:val="24"/>
          <w:szCs w:val="24"/>
        </w:rPr>
      </w:pPr>
      <w:r>
        <w:rPr>
          <w:rFonts w:ascii="Calibri" w:hAnsi="Calibri"/>
          <w:i w:val="false"/>
          <w:iCs w:val="false"/>
          <w:color w:val="auto"/>
          <w:sz w:val="24"/>
          <w:szCs w:val="24"/>
        </w:rPr>
        <w:t xml:space="preserve">Entende-se por manutenção corretiva aquela destinada a corrigir os defeitos apresentados pelos bens, compreendendo a substituição de peças, a realização de ajustes, reparos e correções necessárias. </w:t>
      </w:r>
    </w:p>
    <w:p>
      <w:pPr>
        <w:pStyle w:val="Nvel2Opcional1"/>
        <w:widowControl/>
        <w:numPr>
          <w:ilvl w:val="1"/>
          <w:numId w:val="4"/>
        </w:numPr>
        <w:shd w:val="clear" w:color="auto" w:fill="auto"/>
        <w:bidi w:val="0"/>
        <w:spacing w:lineRule="auto" w:line="276" w:before="120" w:after="120"/>
        <w:ind w:left="567" w:right="0" w:hanging="0"/>
        <w:jc w:val="both"/>
        <w:rPr>
          <w:rFonts w:ascii="Calibri" w:hAnsi="Calibri"/>
          <w:i w:val="false"/>
          <w:i w:val="false"/>
          <w:iCs w:val="false"/>
          <w:color w:val="auto"/>
          <w:sz w:val="24"/>
          <w:szCs w:val="24"/>
        </w:rPr>
      </w:pPr>
      <w:r>
        <w:rPr>
          <w:rFonts w:ascii="Calibri" w:hAnsi="Calibri"/>
          <w:i w:val="false"/>
          <w:iCs w:val="false"/>
          <w:color w:val="auto"/>
          <w:sz w:val="24"/>
          <w:szCs w:val="24"/>
        </w:rPr>
        <w:t xml:space="preserve">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 </w:t>
      </w:r>
    </w:p>
    <w:p>
      <w:pPr>
        <w:pStyle w:val="Nvel2Opcional1"/>
        <w:widowControl/>
        <w:numPr>
          <w:ilvl w:val="1"/>
          <w:numId w:val="4"/>
        </w:numPr>
        <w:shd w:val="clear" w:color="auto" w:fill="auto"/>
        <w:bidi w:val="0"/>
        <w:spacing w:lineRule="auto" w:line="276" w:before="120" w:after="120"/>
        <w:ind w:left="567" w:right="0" w:hanging="0"/>
        <w:jc w:val="both"/>
        <w:rPr>
          <w:rFonts w:ascii="Calibri" w:hAnsi="Calibri"/>
          <w:i w:val="false"/>
          <w:i w:val="false"/>
          <w:iCs w:val="false"/>
          <w:color w:val="auto"/>
          <w:sz w:val="24"/>
          <w:szCs w:val="24"/>
          <w:highlight w:val="none"/>
          <w:shd w:fill="auto" w:val="clear"/>
        </w:rPr>
      </w:pPr>
      <w:commentRangeStart w:id="16"/>
      <w:r>
        <w:rPr>
          <w:rFonts w:ascii="Calibri" w:hAnsi="Calibri"/>
          <w:i w:val="false"/>
          <w:iCs w:val="false"/>
          <w:color w:val="000000"/>
          <w:sz w:val="24"/>
          <w:szCs w:val="24"/>
          <w:shd w:fill="auto" w:val="clear"/>
        </w:rPr>
        <w:t xml:space="preserve">Uma vez notificado, o Contratado realizará a reparação ou substituição dos bens que apresentarem vício ou defeito no prazo de até </w:t>
      </w:r>
      <w:r>
        <w:rPr>
          <w:rFonts w:eastAsia="Arial" w:cs="Arial" w:ascii="Calibri" w:hAnsi="Calibri"/>
          <w:b/>
          <w:bCs/>
          <w:i w:val="false"/>
          <w:iCs w:val="false"/>
          <w:color w:val="000000"/>
          <w:sz w:val="24"/>
          <w:szCs w:val="24"/>
          <w:shd w:fill="auto" w:val="clear"/>
          <w:lang w:eastAsia="pt-BR"/>
        </w:rPr>
        <w:t>30</w:t>
      </w:r>
      <w:r>
        <w:rPr>
          <w:rFonts w:ascii="Calibri" w:hAnsi="Calibri"/>
          <w:i w:val="false"/>
          <w:iCs w:val="false"/>
          <w:color w:val="000000"/>
          <w:sz w:val="24"/>
          <w:szCs w:val="24"/>
          <w:shd w:fill="auto" w:val="clear"/>
        </w:rPr>
        <w:t xml:space="preserve"> (</w:t>
      </w:r>
      <w:r>
        <w:rPr>
          <w:rFonts w:eastAsia="Arial" w:cs="Arial" w:ascii="Calibri" w:hAnsi="Calibri"/>
          <w:b/>
          <w:bCs/>
          <w:i w:val="false"/>
          <w:iCs w:val="false"/>
          <w:color w:val="000000"/>
          <w:sz w:val="24"/>
          <w:szCs w:val="24"/>
          <w:shd w:fill="auto" w:val="clear"/>
          <w:lang w:eastAsia="pt-BR"/>
        </w:rPr>
        <w:t>trinta</w:t>
      </w:r>
      <w:r>
        <w:rPr>
          <w:rFonts w:ascii="Calibri" w:hAnsi="Calibri"/>
          <w:i w:val="false"/>
          <w:iCs w:val="false"/>
          <w:color w:val="000000"/>
          <w:sz w:val="24"/>
          <w:szCs w:val="24"/>
          <w:shd w:fill="auto" w:val="clear"/>
        </w:rPr>
        <w:t>) dias úteis, já incluído nesse prazo o tempo necessário para eventual retirada e devolução do bem, a cargo do Contratado.</w:t>
      </w:r>
    </w:p>
    <w:p>
      <w:pPr>
        <w:pStyle w:val="Nvel2Opcional1"/>
        <w:widowControl/>
        <w:numPr>
          <w:ilvl w:val="1"/>
          <w:numId w:val="4"/>
        </w:numPr>
        <w:shd w:val="clear" w:color="auto" w:fill="auto"/>
        <w:bidi w:val="0"/>
        <w:spacing w:lineRule="auto" w:line="276" w:before="120" w:after="120"/>
        <w:ind w:left="567" w:right="0" w:hanging="0"/>
        <w:jc w:val="both"/>
        <w:rPr>
          <w:rFonts w:ascii="Calibri" w:hAnsi="Calibri"/>
          <w:i w:val="false"/>
          <w:i w:val="false"/>
          <w:iCs w:val="false"/>
          <w:color w:val="auto"/>
          <w:sz w:val="24"/>
          <w:szCs w:val="24"/>
        </w:rPr>
      </w:pPr>
      <w:r>
        <w:rPr>
          <w:rFonts w:ascii="Calibri" w:hAnsi="Calibri"/>
          <w:i w:val="false"/>
          <w:iCs w:val="false"/>
          <w:color w:val="auto"/>
          <w:sz w:val="24"/>
          <w:szCs w:val="24"/>
        </w:rPr>
        <w:t xml:space="preserve">O prazo indicado no subitem anterior, durante seu transcurso, poderá ser prorrogado uma única vez, por igual período, mediante solicitação escrita e justificada do Contratado, aceita pelo Contratante. </w:t>
      </w:r>
    </w:p>
    <w:p>
      <w:pPr>
        <w:pStyle w:val="Nvel2Opcional1"/>
        <w:widowControl/>
        <w:numPr>
          <w:ilvl w:val="1"/>
          <w:numId w:val="4"/>
        </w:numPr>
        <w:shd w:val="clear" w:color="auto" w:fill="auto"/>
        <w:bidi w:val="0"/>
        <w:spacing w:lineRule="auto" w:line="276" w:before="120" w:after="120"/>
        <w:ind w:left="567" w:right="0" w:hanging="0"/>
        <w:jc w:val="both"/>
        <w:rPr>
          <w:rFonts w:ascii="Calibri" w:hAnsi="Calibri"/>
          <w:i w:val="false"/>
          <w:i w:val="false"/>
          <w:iCs w:val="false"/>
          <w:color w:val="auto"/>
          <w:sz w:val="24"/>
          <w:szCs w:val="24"/>
        </w:rPr>
      </w:pPr>
      <w:r>
        <w:rPr>
          <w:rFonts w:ascii="Calibri" w:hAnsi="Calibri"/>
          <w:i w:val="false"/>
          <w:iCs w:val="false"/>
          <w:color w:val="auto"/>
          <w:sz w:val="24"/>
          <w:szCs w:val="24"/>
        </w:rPr>
        <w:t xml:space="preserve">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pPr>
        <w:pStyle w:val="Nvel2Opcional1"/>
        <w:widowControl/>
        <w:numPr>
          <w:ilvl w:val="1"/>
          <w:numId w:val="4"/>
        </w:numPr>
        <w:shd w:val="clear" w:color="auto" w:fill="auto"/>
        <w:bidi w:val="0"/>
        <w:spacing w:lineRule="auto" w:line="276" w:before="120" w:after="120"/>
        <w:ind w:left="567" w:right="0" w:hanging="0"/>
        <w:jc w:val="both"/>
        <w:rPr>
          <w:rFonts w:ascii="Calibri" w:hAnsi="Calibri"/>
          <w:i w:val="false"/>
          <w:i w:val="false"/>
          <w:iCs w:val="false"/>
          <w:color w:val="auto"/>
          <w:sz w:val="24"/>
          <w:szCs w:val="24"/>
        </w:rPr>
      </w:pPr>
      <w:r>
        <w:rPr>
          <w:rFonts w:ascii="Calibri" w:hAnsi="Calibri"/>
          <w:i w:val="false"/>
          <w:iCs w:val="false"/>
          <w:color w:val="auto"/>
          <w:sz w:val="24"/>
          <w:szCs w:val="24"/>
        </w:rPr>
        <w:t xml:space="preserve">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pPr>
        <w:pStyle w:val="Nvel2Opcional1"/>
        <w:widowControl/>
        <w:numPr>
          <w:ilvl w:val="1"/>
          <w:numId w:val="4"/>
        </w:numPr>
        <w:shd w:val="clear" w:color="auto" w:fill="auto"/>
        <w:bidi w:val="0"/>
        <w:spacing w:lineRule="auto" w:line="276" w:before="120" w:after="120"/>
        <w:ind w:left="567" w:right="0" w:hanging="0"/>
        <w:jc w:val="both"/>
        <w:rPr>
          <w:rFonts w:ascii="Calibri" w:hAnsi="Calibri"/>
          <w:i w:val="false"/>
          <w:i w:val="false"/>
          <w:iCs w:val="false"/>
          <w:color w:val="auto"/>
          <w:sz w:val="24"/>
          <w:szCs w:val="24"/>
        </w:rPr>
      </w:pPr>
      <w:r>
        <w:rPr>
          <w:rFonts w:ascii="Calibri" w:hAnsi="Calibri"/>
          <w:i w:val="false"/>
          <w:iCs w:val="false"/>
          <w:color w:val="auto"/>
          <w:sz w:val="24"/>
          <w:szCs w:val="24"/>
        </w:rPr>
        <w:t xml:space="preserve">O custo referente ao transporte dos equipamentos cobertos pela garantia será de responsabilidade do Contratado. </w:t>
      </w:r>
    </w:p>
    <w:p>
      <w:pPr>
        <w:pStyle w:val="Nvel2Opcional1"/>
        <w:widowControl/>
        <w:numPr>
          <w:ilvl w:val="1"/>
          <w:numId w:val="4"/>
        </w:numPr>
        <w:shd w:val="clear" w:color="auto" w:fill="auto"/>
        <w:bidi w:val="0"/>
        <w:spacing w:lineRule="auto" w:line="276" w:before="120" w:after="120"/>
        <w:ind w:left="567" w:right="0" w:hanging="0"/>
        <w:jc w:val="both"/>
        <w:rPr>
          <w:rFonts w:ascii="Calibri" w:hAnsi="Calibri"/>
          <w:i w:val="false"/>
          <w:i w:val="false"/>
          <w:iCs w:val="false"/>
          <w:color w:val="auto"/>
          <w:sz w:val="24"/>
          <w:szCs w:val="24"/>
        </w:rPr>
      </w:pPr>
      <w:r>
        <w:rPr>
          <w:rFonts w:ascii="Calibri" w:hAnsi="Calibri"/>
          <w:i w:val="false"/>
          <w:iCs w:val="false"/>
          <w:color w:val="auto"/>
          <w:sz w:val="24"/>
          <w:szCs w:val="24"/>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commentRangeEnd w:id="16"/>
      <w:r>
        <w:commentReference w:id="16"/>
      </w:r>
      <w:r>
        <w:rPr>
          <w:rFonts w:ascii="Calibri" w:hAnsi="Calibri"/>
          <w:i w:val="false"/>
          <w:iCs w:val="false"/>
          <w:color w:val="auto"/>
          <w:sz w:val="24"/>
          <w:szCs w:val="24"/>
        </w:rPr>
      </w:r>
    </w:p>
    <w:p>
      <w:pPr>
        <w:pStyle w:val="Nivel01"/>
        <w:numPr>
          <w:ilvl w:val="0"/>
          <w:numId w:val="4"/>
        </w:numPr>
        <w:ind w:left="357" w:hanging="357"/>
        <w:rPr>
          <w:rFonts w:ascii="Calibri" w:hAnsi="Calibri"/>
          <w:sz w:val="24"/>
          <w:szCs w:val="24"/>
        </w:rPr>
      </w:pPr>
      <w:r>
        <w:rPr>
          <w:rFonts w:ascii="Calibri" w:hAnsi="Calibri"/>
          <w:sz w:val="24"/>
          <w:szCs w:val="24"/>
        </w:rPr>
        <w:t>MODELO DE GESTÃO DO CONTRATO</w:t>
      </w:r>
    </w:p>
    <w:p>
      <w:pPr>
        <w:pStyle w:val="Nvel02"/>
        <w:numPr>
          <w:ilvl w:val="1"/>
          <w:numId w:val="4"/>
        </w:numPr>
        <w:ind w:left="0" w:hanging="0"/>
        <w:rPr>
          <w:rFonts w:ascii="Calibri" w:hAnsi="Calibri"/>
          <w:sz w:val="24"/>
          <w:szCs w:val="24"/>
        </w:rPr>
      </w:pPr>
      <w:r>
        <w:rPr>
          <w:rFonts w:ascii="Calibri" w:hAnsi="Calibri"/>
          <w:sz w:val="24"/>
          <w:szCs w:val="24"/>
        </w:rPr>
        <w:t>O contrato deverá ser executado fielmente pelas partes, de acordo com as cláusulas avençadas e as normas da Lei nº 14.133, de 2021, e cada parte responderá pelas consequências de sua inexecução total ou parcial.</w:t>
      </w:r>
    </w:p>
    <w:p>
      <w:pPr>
        <w:pStyle w:val="Nvel02"/>
        <w:numPr>
          <w:ilvl w:val="1"/>
          <w:numId w:val="4"/>
        </w:numPr>
        <w:ind w:left="0" w:hanging="0"/>
        <w:rPr>
          <w:rFonts w:ascii="Calibri" w:hAnsi="Calibri"/>
          <w:sz w:val="24"/>
          <w:szCs w:val="24"/>
        </w:rPr>
      </w:pPr>
      <w:r>
        <w:rPr>
          <w:rFonts w:ascii="Calibri" w:hAnsi="Calibri"/>
          <w:sz w:val="24"/>
          <w:szCs w:val="24"/>
        </w:rPr>
        <w:t>Em caso de impedimento, ordem de paralisação ou suspensão do contrato, o cronograma de execução será prorrogado automaticamente pelo tempo correspondente, anotadas tais circunstâncias mediante simples apostila.</w:t>
      </w:r>
    </w:p>
    <w:p>
      <w:pPr>
        <w:pStyle w:val="Nvel02"/>
        <w:numPr>
          <w:ilvl w:val="1"/>
          <w:numId w:val="4"/>
        </w:numPr>
        <w:ind w:left="0" w:hanging="0"/>
        <w:rPr>
          <w:rFonts w:ascii="Calibri" w:hAnsi="Calibri"/>
          <w:sz w:val="24"/>
          <w:szCs w:val="24"/>
        </w:rPr>
      </w:pPr>
      <w:r>
        <w:rPr>
          <w:rFonts w:ascii="Calibri" w:hAnsi="Calibri"/>
          <w:sz w:val="24"/>
          <w:szCs w:val="24"/>
        </w:rPr>
        <w:t>As comunicações entre o órgão ou entidade e a contratada devem ser realizadas por escrito sempre que o ato exigir tal formalidade, admitindo-se o uso de mensagem eletrônica para esse fim.</w:t>
      </w:r>
    </w:p>
    <w:p>
      <w:pPr>
        <w:pStyle w:val="Nvel02"/>
        <w:numPr>
          <w:ilvl w:val="1"/>
          <w:numId w:val="4"/>
        </w:numPr>
        <w:ind w:left="0" w:hanging="0"/>
        <w:rPr>
          <w:rFonts w:ascii="Calibri" w:hAnsi="Calibri"/>
          <w:sz w:val="24"/>
          <w:szCs w:val="24"/>
        </w:rPr>
      </w:pPr>
      <w:r>
        <w:rPr>
          <w:rFonts w:ascii="Calibri" w:hAnsi="Calibri"/>
          <w:sz w:val="24"/>
          <w:szCs w:val="24"/>
        </w:rPr>
        <w:t>O órgão ou entidade poderá convocar representante da empresa para adoção de providências que devam ser cumpridas de imediato.</w:t>
      </w:r>
    </w:p>
    <w:p>
      <w:pPr>
        <w:pStyle w:val="Nvel2Opcional1"/>
        <w:widowControl/>
        <w:numPr>
          <w:ilvl w:val="1"/>
          <w:numId w:val="4"/>
        </w:numPr>
        <w:shd w:val="clear" w:color="auto" w:fill="auto"/>
        <w:bidi w:val="0"/>
        <w:spacing w:lineRule="auto" w:line="276" w:before="120" w:after="120"/>
        <w:ind w:left="0" w:right="0" w:hanging="0"/>
        <w:jc w:val="both"/>
        <w:rPr>
          <w:rFonts w:ascii="Calibri" w:hAnsi="Calibri"/>
          <w:sz w:val="24"/>
          <w:szCs w:val="24"/>
        </w:rPr>
      </w:pPr>
      <w:r>
        <w:rPr>
          <w:rFonts w:eastAsia="Arial" w:cs="Arial" w:ascii="Calibri" w:hAnsi="Calibri"/>
          <w:i w:val="false"/>
          <w:iCs/>
          <w:color w:val="auto"/>
          <w:sz w:val="24"/>
          <w:szCs w:val="24"/>
          <w:lang w:eastAsia="pt-BR"/>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pPr>
        <w:pStyle w:val="Nvel1SemNumerao"/>
        <w:ind w:left="357" w:hanging="0"/>
        <w:rPr>
          <w:rFonts w:ascii="Calibri" w:hAnsi="Calibri"/>
          <w:sz w:val="24"/>
          <w:szCs w:val="24"/>
        </w:rPr>
      </w:pPr>
      <w:r>
        <w:rPr>
          <w:rFonts w:ascii="Calibri" w:hAnsi="Calibri"/>
          <w:sz w:val="24"/>
          <w:szCs w:val="24"/>
        </w:rPr>
        <w:t>Fiscalização</w:t>
      </w:r>
    </w:p>
    <w:p>
      <w:pPr>
        <w:pStyle w:val="Nvel02"/>
        <w:numPr>
          <w:ilvl w:val="1"/>
          <w:numId w:val="4"/>
        </w:numPr>
        <w:ind w:left="0" w:hanging="0"/>
        <w:rPr>
          <w:rFonts w:ascii="Calibri" w:hAnsi="Calibri"/>
          <w:sz w:val="24"/>
          <w:szCs w:val="24"/>
        </w:rPr>
      </w:pPr>
      <w:commentRangeStart w:id="17"/>
      <w:r>
        <w:rPr>
          <w:rFonts w:ascii="Calibri" w:hAnsi="Calibri"/>
          <w:sz w:val="24"/>
          <w:szCs w:val="24"/>
        </w:rPr>
        <w:t>A execução do contrato deverá ser acompanhada e fiscalizada pelo(s) fiscal(is) do contrato, ou pelos respectivos substitutos.</w:t>
      </w:r>
      <w:commentRangeEnd w:id="17"/>
      <w:r>
        <w:commentReference w:id="17"/>
      </w:r>
      <w:r>
        <w:rPr>
          <w:rFonts w:ascii="Calibri" w:hAnsi="Calibri"/>
          <w:sz w:val="24"/>
          <w:szCs w:val="24"/>
        </w:rPr>
      </w:r>
    </w:p>
    <w:p>
      <w:pPr>
        <w:pStyle w:val="Nvel1SemNumerao"/>
        <w:ind w:left="357" w:hanging="0"/>
        <w:rPr>
          <w:rFonts w:ascii="Calibri" w:hAnsi="Calibri"/>
          <w:sz w:val="24"/>
          <w:szCs w:val="24"/>
        </w:rPr>
      </w:pPr>
      <w:r>
        <w:rPr>
          <w:rFonts w:ascii="Calibri" w:hAnsi="Calibri"/>
          <w:sz w:val="24"/>
          <w:szCs w:val="24"/>
        </w:rPr>
        <w:t>Fiscalização Técnica</w:t>
      </w:r>
    </w:p>
    <w:p>
      <w:pPr>
        <w:pStyle w:val="Nvel02"/>
        <w:numPr>
          <w:ilvl w:val="1"/>
          <w:numId w:val="4"/>
        </w:numPr>
        <w:ind w:left="0" w:hanging="0"/>
        <w:rPr>
          <w:rFonts w:ascii="Calibri" w:hAnsi="Calibri"/>
          <w:sz w:val="24"/>
          <w:szCs w:val="24"/>
        </w:rPr>
      </w:pPr>
      <w:r>
        <w:rPr>
          <w:rFonts w:ascii="Calibri" w:hAnsi="Calibri"/>
          <w:sz w:val="24"/>
          <w:szCs w:val="24"/>
        </w:rPr>
        <w:t>O fiscal técnico do contrato acompanhará a execução do contrato, para que sejam cumpridas todas as condições estabelecidas no contrato, de modo a assegurar os melhores resultados para a Administração.</w:t>
      </w:r>
    </w:p>
    <w:p>
      <w:pPr>
        <w:pStyle w:val="Nvel02"/>
        <w:numPr>
          <w:ilvl w:val="1"/>
          <w:numId w:val="4"/>
        </w:numPr>
        <w:ind w:left="0" w:hanging="0"/>
        <w:rPr>
          <w:rFonts w:ascii="Calibri" w:hAnsi="Calibri"/>
          <w:sz w:val="24"/>
          <w:szCs w:val="24"/>
        </w:rPr>
      </w:pPr>
      <w:r>
        <w:rPr>
          <w:rFonts w:ascii="Calibri" w:hAnsi="Calibri"/>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p>
    <w:p>
      <w:pPr>
        <w:pStyle w:val="Nvel02"/>
        <w:numPr>
          <w:ilvl w:val="1"/>
          <w:numId w:val="4"/>
        </w:numPr>
        <w:ind w:left="0" w:hanging="0"/>
        <w:rPr>
          <w:rFonts w:ascii="Calibri" w:hAnsi="Calibri"/>
          <w:sz w:val="24"/>
          <w:szCs w:val="24"/>
        </w:rPr>
      </w:pPr>
      <w:r>
        <w:rPr>
          <w:rFonts w:ascii="Calibri" w:hAnsi="Calibri"/>
          <w:sz w:val="24"/>
          <w:szCs w:val="24"/>
        </w:rPr>
        <w:t>Identificada qualquer inexatidão ou irregularidade, o fiscal técnico do contrato emitirá notificações para a correção da execução do contrato, determinando prazo para a correção.</w:t>
      </w:r>
    </w:p>
    <w:p>
      <w:pPr>
        <w:pStyle w:val="Nvel02"/>
        <w:numPr>
          <w:ilvl w:val="1"/>
          <w:numId w:val="4"/>
        </w:numPr>
        <w:ind w:left="0" w:hanging="0"/>
        <w:rPr>
          <w:rFonts w:ascii="Calibri" w:hAnsi="Calibri"/>
          <w:sz w:val="24"/>
          <w:szCs w:val="24"/>
        </w:rPr>
      </w:pPr>
      <w:r>
        <w:rPr>
          <w:rFonts w:ascii="Calibri" w:hAnsi="Calibri"/>
          <w:sz w:val="24"/>
          <w:szCs w:val="24"/>
        </w:rPr>
        <w:t>O fiscal técnico do contrato informará ao gestor do contato, em tempo hábil, a situação que demandar decisão ou adoção de medidas que ultrapassem sua competência, para que adote as medidas necessárias e saneadoras, se for o caso.</w:t>
      </w:r>
    </w:p>
    <w:p>
      <w:pPr>
        <w:pStyle w:val="Nvel02"/>
        <w:numPr>
          <w:ilvl w:val="1"/>
          <w:numId w:val="4"/>
        </w:numPr>
        <w:ind w:left="0" w:hanging="0"/>
        <w:rPr>
          <w:rFonts w:ascii="Calibri" w:hAnsi="Calibri"/>
          <w:sz w:val="24"/>
          <w:szCs w:val="24"/>
        </w:rPr>
      </w:pPr>
      <w:r>
        <w:rPr>
          <w:rFonts w:ascii="Calibri" w:hAnsi="Calibri"/>
          <w:sz w:val="24"/>
          <w:szCs w:val="24"/>
        </w:rPr>
        <w:t>No caso de ocorrências que possam inviabilizar a execução do contrato nas datas aprazadas, o fiscal técnico do contrato comunicará o fato imediatamente ao gestor do contrato.</w:t>
      </w:r>
    </w:p>
    <w:p>
      <w:pPr>
        <w:pStyle w:val="Nvel02"/>
        <w:numPr>
          <w:ilvl w:val="1"/>
          <w:numId w:val="4"/>
        </w:numPr>
        <w:ind w:left="0" w:hanging="0"/>
        <w:rPr>
          <w:rFonts w:ascii="Calibri" w:hAnsi="Calibri"/>
          <w:sz w:val="24"/>
          <w:szCs w:val="24"/>
        </w:rPr>
      </w:pPr>
      <w:r>
        <w:rPr>
          <w:rFonts w:ascii="Calibri" w:hAnsi="Calibri"/>
          <w:sz w:val="24"/>
          <w:szCs w:val="24"/>
        </w:rPr>
        <w:t>O fiscal técnico do contrato comunicará ao gestor do contrato, em tempo hábil, o término do contrato sob sua responsabilidade, com vistas à renovação tempestiva ou à prorrogação contratual.</w:t>
      </w:r>
    </w:p>
    <w:p>
      <w:pPr>
        <w:pStyle w:val="Nvel1SemNumerao"/>
        <w:ind w:left="357" w:hanging="0"/>
        <w:rPr>
          <w:rFonts w:ascii="Calibri" w:hAnsi="Calibri"/>
          <w:sz w:val="24"/>
          <w:szCs w:val="24"/>
        </w:rPr>
      </w:pPr>
      <w:r>
        <w:rPr>
          <w:rFonts w:ascii="Calibri" w:hAnsi="Calibri"/>
          <w:sz w:val="24"/>
          <w:szCs w:val="24"/>
        </w:rPr>
        <w:t>Fiscalização Administrativa</w:t>
      </w:r>
    </w:p>
    <w:p>
      <w:pPr>
        <w:pStyle w:val="Nvel02"/>
        <w:numPr>
          <w:ilvl w:val="1"/>
          <w:numId w:val="4"/>
        </w:numPr>
        <w:ind w:left="0" w:hanging="0"/>
        <w:rPr>
          <w:rFonts w:ascii="Calibri" w:hAnsi="Calibri"/>
          <w:sz w:val="24"/>
          <w:szCs w:val="24"/>
        </w:rPr>
      </w:pPr>
      <w:r>
        <w:rPr>
          <w:rFonts w:ascii="Calibri" w:hAnsi="Calibri"/>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pPr>
        <w:pStyle w:val="Nvel02"/>
        <w:numPr>
          <w:ilvl w:val="1"/>
          <w:numId w:val="4"/>
        </w:numPr>
        <w:ind w:left="0" w:hanging="0"/>
        <w:rPr>
          <w:rFonts w:ascii="Calibri" w:hAnsi="Calibri"/>
          <w:sz w:val="24"/>
          <w:szCs w:val="24"/>
        </w:rPr>
      </w:pPr>
      <w:r>
        <w:rPr>
          <w:rFonts w:ascii="Calibri" w:hAnsi="Calibri"/>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pPr>
        <w:pStyle w:val="Nvel02"/>
        <w:numPr>
          <w:ilvl w:val="1"/>
          <w:numId w:val="4"/>
        </w:numPr>
        <w:ind w:left="0" w:hanging="0"/>
        <w:rPr>
          <w:rFonts w:ascii="Calibri" w:hAnsi="Calibri"/>
          <w:sz w:val="24"/>
          <w:szCs w:val="24"/>
        </w:rPr>
      </w:pPr>
      <w:r>
        <w:rPr>
          <w:rFonts w:ascii="Calibri" w:hAnsi="Calibri"/>
          <w:sz w:val="24"/>
          <w:szCs w:val="24"/>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pPr>
        <w:pStyle w:val="Nvel1SemNumerao"/>
        <w:ind w:left="357" w:hanging="0"/>
        <w:rPr>
          <w:rFonts w:ascii="Calibri" w:hAnsi="Calibri"/>
          <w:sz w:val="24"/>
          <w:szCs w:val="24"/>
        </w:rPr>
      </w:pPr>
      <w:r>
        <w:rPr>
          <w:rFonts w:ascii="Calibri" w:hAnsi="Calibri"/>
          <w:sz w:val="24"/>
          <w:szCs w:val="24"/>
        </w:rPr>
        <w:t>Gestor do Contrato</w:t>
      </w:r>
    </w:p>
    <w:p>
      <w:pPr>
        <w:pStyle w:val="Nvel02"/>
        <w:numPr>
          <w:ilvl w:val="1"/>
          <w:numId w:val="4"/>
        </w:numPr>
        <w:ind w:left="0" w:hanging="0"/>
        <w:rPr>
          <w:rFonts w:ascii="Calibri" w:hAnsi="Calibri"/>
          <w:sz w:val="24"/>
          <w:szCs w:val="24"/>
        </w:rPr>
      </w:pPr>
      <w:r>
        <w:rPr>
          <w:rFonts w:ascii="Calibri" w:hAnsi="Calibri"/>
          <w:sz w:val="24"/>
          <w:szCs w:val="24"/>
        </w:rPr>
        <w:t>Cabe ao gestor do contrato:</w:t>
      </w:r>
    </w:p>
    <w:p>
      <w:pPr>
        <w:pStyle w:val="Nivel3"/>
        <w:numPr>
          <w:ilvl w:val="2"/>
          <w:numId w:val="69"/>
        </w:numPr>
        <w:ind w:left="284" w:hanging="0"/>
        <w:rPr>
          <w:rFonts w:ascii="Calibri" w:hAnsi="Calibri"/>
          <w:sz w:val="24"/>
          <w:szCs w:val="24"/>
        </w:rPr>
      </w:pPr>
      <w:r>
        <w:rPr>
          <w:rFonts w:ascii="Calibri" w:hAnsi="Calibri"/>
          <w:sz w:val="24"/>
          <w:szCs w:val="24"/>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pPr>
        <w:pStyle w:val="Nivel3"/>
        <w:numPr>
          <w:ilvl w:val="2"/>
          <w:numId w:val="70"/>
        </w:numPr>
        <w:ind w:left="284" w:hanging="0"/>
        <w:rPr>
          <w:rFonts w:ascii="Calibri" w:hAnsi="Calibri"/>
          <w:sz w:val="24"/>
          <w:szCs w:val="24"/>
        </w:rPr>
      </w:pPr>
      <w:r>
        <w:rPr>
          <w:rFonts w:ascii="Calibri" w:hAnsi="Calibri"/>
          <w:sz w:val="24"/>
          <w:szCs w:val="24"/>
        </w:rPr>
        <w:t>acompanhar os registros realizados pelos fiscais do contrato, de todas as ocorrências relacionadas à execução do contrato e as medidas adotadas, informando, se for o caso, à autoridade superior àquelas que ultrapassarem a sua competência.</w:t>
      </w:r>
    </w:p>
    <w:p>
      <w:pPr>
        <w:pStyle w:val="Nivel3"/>
        <w:numPr>
          <w:ilvl w:val="2"/>
          <w:numId w:val="71"/>
        </w:numPr>
        <w:ind w:left="284" w:hanging="0"/>
        <w:rPr>
          <w:rFonts w:ascii="Calibri" w:hAnsi="Calibri"/>
          <w:sz w:val="24"/>
          <w:szCs w:val="24"/>
        </w:rPr>
      </w:pPr>
      <w:r>
        <w:rPr>
          <w:rFonts w:ascii="Calibri" w:hAnsi="Calibri"/>
          <w:sz w:val="24"/>
          <w:szCs w:val="24"/>
        </w:rPr>
        <w:t>acompanhar a manutenção das condições de habilitação da contratada, para fins de empenho de despesa e pagamento, e anotará os problemas que obstem o fluxo normal da liquidação e do pagamento da despesa no relatório de riscos eventuais.</w:t>
      </w:r>
    </w:p>
    <w:p>
      <w:pPr>
        <w:pStyle w:val="Nivel3"/>
        <w:numPr>
          <w:ilvl w:val="2"/>
          <w:numId w:val="72"/>
        </w:numPr>
        <w:ind w:left="284" w:hanging="0"/>
        <w:rPr>
          <w:rFonts w:ascii="Calibri" w:hAnsi="Calibri"/>
          <w:sz w:val="24"/>
          <w:szCs w:val="24"/>
        </w:rPr>
      </w:pPr>
      <w:r>
        <w:rPr>
          <w:rFonts w:ascii="Calibri" w:hAnsi="Calibri"/>
          <w:sz w:val="24"/>
          <w:szCs w:val="24"/>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pPr>
        <w:pStyle w:val="Nivel3"/>
        <w:numPr>
          <w:ilvl w:val="2"/>
          <w:numId w:val="73"/>
        </w:numPr>
        <w:ind w:left="284" w:hanging="0"/>
        <w:rPr>
          <w:rFonts w:ascii="Calibri" w:hAnsi="Calibri"/>
          <w:sz w:val="24"/>
          <w:szCs w:val="24"/>
        </w:rPr>
      </w:pPr>
      <w:r>
        <w:rPr>
          <w:rFonts w:ascii="Calibri" w:hAnsi="Calibri"/>
          <w:sz w:val="24"/>
          <w:szCs w:val="24"/>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pPr>
        <w:pStyle w:val="Nivel3"/>
        <w:numPr>
          <w:ilvl w:val="2"/>
          <w:numId w:val="74"/>
        </w:numPr>
        <w:ind w:left="284" w:hanging="0"/>
        <w:rPr>
          <w:rFonts w:ascii="Calibri" w:hAnsi="Calibri"/>
          <w:sz w:val="24"/>
          <w:szCs w:val="24"/>
        </w:rPr>
      </w:pPr>
      <w:r>
        <w:rPr>
          <w:rFonts w:ascii="Calibri" w:hAnsi="Calibri"/>
          <w:sz w:val="24"/>
          <w:szCs w:val="24"/>
        </w:rPr>
        <w:t>elaborar relatório final com informações sobre a consecução dos objetivos que tenham justificado a contratação e eventuais condutas a serem adotadas para o aprimoramento das atividades da Administração.</w:t>
      </w:r>
    </w:p>
    <w:p>
      <w:pPr>
        <w:pStyle w:val="Nivel3"/>
        <w:numPr>
          <w:ilvl w:val="2"/>
          <w:numId w:val="75"/>
        </w:numPr>
        <w:ind w:left="284" w:hanging="0"/>
        <w:rPr>
          <w:rFonts w:ascii="Calibri" w:hAnsi="Calibri"/>
          <w:sz w:val="24"/>
          <w:szCs w:val="24"/>
        </w:rPr>
      </w:pPr>
      <w:r>
        <w:rPr>
          <w:rFonts w:ascii="Calibri" w:hAnsi="Calibri"/>
          <w:sz w:val="24"/>
          <w:szCs w:val="24"/>
        </w:rPr>
        <w:t>enviar a documentação pertinente ao setor de contratos para a formalização dos procedimentos de liquidação e pagamento, no valor dimensionado pela fiscalização e gestão nos termos do contrato.</w:t>
      </w:r>
    </w:p>
    <w:p>
      <w:pPr>
        <w:pStyle w:val="Nivel01"/>
        <w:numPr>
          <w:ilvl w:val="0"/>
          <w:numId w:val="4"/>
        </w:numPr>
        <w:ind w:left="357" w:hanging="357"/>
        <w:rPr>
          <w:rFonts w:ascii="Calibri" w:hAnsi="Calibri"/>
          <w:sz w:val="24"/>
          <w:szCs w:val="24"/>
        </w:rPr>
      </w:pPr>
      <w:bookmarkStart w:id="9" w:name="_Hlk114498447"/>
      <w:bookmarkStart w:id="10" w:name="_Hlk114498479"/>
      <w:bookmarkEnd w:id="9"/>
      <w:bookmarkEnd w:id="10"/>
      <w:r>
        <w:rPr>
          <w:rFonts w:ascii="Calibri" w:hAnsi="Calibri"/>
          <w:sz w:val="24"/>
          <w:szCs w:val="24"/>
        </w:rPr>
        <w:t>INFRAÇÕES E SANÇÕES ADMINISTRATIVAS</w:t>
      </w:r>
    </w:p>
    <w:p>
      <w:pPr>
        <w:pStyle w:val="Nvel02"/>
        <w:numPr>
          <w:ilvl w:val="1"/>
          <w:numId w:val="4"/>
        </w:numPr>
        <w:ind w:left="0" w:hanging="0"/>
        <w:rPr/>
      </w:pPr>
      <w:r>
        <w:rPr>
          <w:rStyle w:val="Normaltextrun"/>
          <w:rFonts w:ascii="Calibri" w:hAnsi="Calibri"/>
          <w:color w:val="000000"/>
          <w:sz w:val="24"/>
          <w:szCs w:val="24"/>
        </w:rPr>
        <w:t xml:space="preserve">Comete </w:t>
      </w:r>
      <w:r>
        <w:rPr>
          <w:rFonts w:ascii="Calibri" w:hAnsi="Calibri"/>
          <w:sz w:val="24"/>
          <w:szCs w:val="24"/>
        </w:rPr>
        <w:t>infração</w:t>
      </w:r>
      <w:r>
        <w:rPr>
          <w:rStyle w:val="Normaltextrun"/>
          <w:rFonts w:ascii="Calibri" w:hAnsi="Calibri"/>
          <w:color w:val="000000"/>
          <w:sz w:val="24"/>
          <w:szCs w:val="24"/>
        </w:rPr>
        <w:t xml:space="preserve"> administrativa, nos termos da </w:t>
      </w:r>
      <w:r>
        <w:rPr>
          <w:rStyle w:val="Normaltextrun"/>
          <w:rFonts w:ascii="Calibri" w:hAnsi="Calibri"/>
          <w:sz w:val="24"/>
          <w:szCs w:val="24"/>
        </w:rPr>
        <w:t>Lei nº 14.133, de 2021</w:t>
      </w:r>
      <w:r>
        <w:rPr>
          <w:rStyle w:val="Normaltextrun"/>
          <w:rFonts w:ascii="Calibri" w:hAnsi="Calibri"/>
          <w:color w:val="000000"/>
          <w:sz w:val="24"/>
          <w:szCs w:val="24"/>
        </w:rPr>
        <w:t>, o Contratado que:</w:t>
      </w:r>
    </w:p>
    <w:p>
      <w:pPr>
        <w:pStyle w:val="Paragraph"/>
        <w:numPr>
          <w:ilvl w:val="0"/>
          <w:numId w:val="7"/>
        </w:numPr>
        <w:spacing w:lineRule="auto" w:line="276" w:beforeAutospacing="0" w:before="120" w:afterAutospacing="0" w:after="0"/>
        <w:ind w:left="284" w:hanging="0"/>
        <w:jc w:val="both"/>
        <w:textAlignment w:val="baseline"/>
        <w:rPr/>
      </w:pPr>
      <w:r>
        <w:rPr>
          <w:rStyle w:val="Normaltextrun"/>
          <w:rFonts w:ascii="Calibri" w:hAnsi="Calibri"/>
          <w:sz w:val="24"/>
          <w:szCs w:val="24"/>
        </w:rPr>
        <w:t>der causa à inexecução parcial do contrato;</w:t>
      </w:r>
    </w:p>
    <w:p>
      <w:pPr>
        <w:pStyle w:val="Paragraph"/>
        <w:numPr>
          <w:ilvl w:val="0"/>
          <w:numId w:val="7"/>
        </w:numPr>
        <w:spacing w:lineRule="auto" w:line="276" w:beforeAutospacing="0" w:before="0" w:afterAutospacing="0" w:after="0"/>
        <w:ind w:left="284" w:hanging="0"/>
        <w:jc w:val="both"/>
        <w:textAlignment w:val="baseline"/>
        <w:rPr/>
      </w:pPr>
      <w:r>
        <w:rPr>
          <w:rStyle w:val="Normaltextrun"/>
          <w:rFonts w:ascii="Calibri" w:hAnsi="Calibri"/>
          <w:sz w:val="24"/>
          <w:szCs w:val="24"/>
        </w:rPr>
        <w:t>der causa à inexecução parcial do contrato que cause grave dano à Administração ou ao funcionamento dos serviços públicos ou ao interesse coletivo;</w:t>
      </w:r>
    </w:p>
    <w:p>
      <w:pPr>
        <w:pStyle w:val="Paragraph"/>
        <w:numPr>
          <w:ilvl w:val="0"/>
          <w:numId w:val="7"/>
        </w:numPr>
        <w:spacing w:lineRule="auto" w:line="276" w:beforeAutospacing="0" w:before="0" w:afterAutospacing="0" w:after="0"/>
        <w:ind w:left="284" w:hanging="0"/>
        <w:jc w:val="both"/>
        <w:textAlignment w:val="baseline"/>
        <w:rPr/>
      </w:pPr>
      <w:r>
        <w:rPr>
          <w:rStyle w:val="Normaltextrun"/>
          <w:rFonts w:ascii="Calibri" w:hAnsi="Calibri"/>
          <w:sz w:val="24"/>
          <w:szCs w:val="24"/>
        </w:rPr>
        <w:t>der causa à inexecução total do contrato;</w:t>
      </w:r>
    </w:p>
    <w:p>
      <w:pPr>
        <w:pStyle w:val="Paragraph"/>
        <w:numPr>
          <w:ilvl w:val="0"/>
          <w:numId w:val="7"/>
        </w:numPr>
        <w:spacing w:lineRule="auto" w:line="276" w:beforeAutospacing="0" w:before="0" w:afterAutospacing="0" w:after="0"/>
        <w:ind w:left="284" w:hanging="0"/>
        <w:jc w:val="both"/>
        <w:textAlignment w:val="baseline"/>
        <w:rPr/>
      </w:pPr>
      <w:r>
        <w:rPr>
          <w:rStyle w:val="Normaltextrun"/>
          <w:rFonts w:ascii="Calibri" w:hAnsi="Calibri"/>
          <w:sz w:val="24"/>
          <w:szCs w:val="24"/>
        </w:rPr>
        <w:t>ensejar o retardamento da execução ou da entrega do objeto da contratação sem motivo justificado;</w:t>
      </w:r>
    </w:p>
    <w:p>
      <w:pPr>
        <w:pStyle w:val="Paragraph"/>
        <w:numPr>
          <w:ilvl w:val="0"/>
          <w:numId w:val="7"/>
        </w:numPr>
        <w:spacing w:lineRule="auto" w:line="276" w:beforeAutospacing="0" w:before="0" w:afterAutospacing="0" w:after="0"/>
        <w:ind w:left="284" w:hanging="0"/>
        <w:jc w:val="both"/>
        <w:textAlignment w:val="baseline"/>
        <w:rPr/>
      </w:pPr>
      <w:r>
        <w:rPr>
          <w:rStyle w:val="Normaltextrun"/>
          <w:rFonts w:ascii="Calibri" w:hAnsi="Calibri"/>
          <w:sz w:val="24"/>
          <w:szCs w:val="24"/>
        </w:rPr>
        <w:t>apresentar documentação falsa ou prestar declaração falsa durante a execução do contrato;</w:t>
      </w:r>
    </w:p>
    <w:p>
      <w:pPr>
        <w:pStyle w:val="Paragraph"/>
        <w:numPr>
          <w:ilvl w:val="0"/>
          <w:numId w:val="7"/>
        </w:numPr>
        <w:spacing w:lineRule="auto" w:line="276" w:beforeAutospacing="0" w:before="0" w:afterAutospacing="0" w:after="0"/>
        <w:ind w:left="284" w:hanging="0"/>
        <w:jc w:val="both"/>
        <w:textAlignment w:val="baseline"/>
        <w:rPr/>
      </w:pPr>
      <w:r>
        <w:rPr>
          <w:rStyle w:val="Normaltextrun"/>
          <w:rFonts w:ascii="Calibri" w:hAnsi="Calibri"/>
          <w:sz w:val="24"/>
          <w:szCs w:val="24"/>
        </w:rPr>
        <w:t>praticar ato fraudulento na execução do contrato;</w:t>
      </w:r>
    </w:p>
    <w:p>
      <w:pPr>
        <w:pStyle w:val="Paragraph"/>
        <w:numPr>
          <w:ilvl w:val="0"/>
          <w:numId w:val="7"/>
        </w:numPr>
        <w:spacing w:lineRule="auto" w:line="276" w:beforeAutospacing="0" w:before="0" w:afterAutospacing="0" w:after="0"/>
        <w:ind w:left="284" w:hanging="0"/>
        <w:jc w:val="both"/>
        <w:textAlignment w:val="baseline"/>
        <w:rPr/>
      </w:pPr>
      <w:r>
        <w:rPr>
          <w:rStyle w:val="Normaltextrun"/>
          <w:rFonts w:ascii="Calibri" w:hAnsi="Calibri"/>
          <w:sz w:val="24"/>
          <w:szCs w:val="24"/>
        </w:rPr>
        <w:t>comportar-se de modo inidôneo ou cometer fraude de qualquer natureza;</w:t>
      </w:r>
    </w:p>
    <w:p>
      <w:pPr>
        <w:pStyle w:val="Paragraph"/>
        <w:numPr>
          <w:ilvl w:val="0"/>
          <w:numId w:val="7"/>
        </w:numPr>
        <w:spacing w:lineRule="auto" w:line="276" w:beforeAutospacing="0" w:before="0" w:afterAutospacing="0" w:after="120"/>
        <w:ind w:left="284" w:hanging="0"/>
        <w:jc w:val="both"/>
        <w:textAlignment w:val="baseline"/>
        <w:rPr/>
      </w:pPr>
      <w:r>
        <w:rPr>
          <w:rStyle w:val="Normaltextrun"/>
          <w:rFonts w:ascii="Calibri" w:hAnsi="Calibri"/>
          <w:sz w:val="24"/>
          <w:szCs w:val="24"/>
        </w:rPr>
        <w:t>praticar ato lesivo previsto no art. 5º da Lei nº 12.846, de 1º de agosto de 2013.</w:t>
      </w:r>
    </w:p>
    <w:p>
      <w:pPr>
        <w:pStyle w:val="Nvel02"/>
        <w:numPr>
          <w:ilvl w:val="1"/>
          <w:numId w:val="4"/>
        </w:numPr>
        <w:ind w:left="0" w:hanging="0"/>
        <w:rPr/>
      </w:pPr>
      <w:r>
        <w:rPr>
          <w:rStyle w:val="Normaltextrun"/>
          <w:rFonts w:ascii="Calibri" w:hAnsi="Calibri"/>
          <w:color w:val="000000"/>
          <w:sz w:val="24"/>
          <w:szCs w:val="24"/>
        </w:rPr>
        <w:t xml:space="preserve">Serão </w:t>
      </w:r>
      <w:r>
        <w:rPr>
          <w:rFonts w:ascii="Calibri" w:hAnsi="Calibri"/>
          <w:sz w:val="24"/>
          <w:szCs w:val="24"/>
        </w:rPr>
        <w:t>aplicadas</w:t>
      </w:r>
      <w:r>
        <w:rPr>
          <w:rStyle w:val="Normaltextrun"/>
          <w:rFonts w:ascii="Calibri" w:hAnsi="Calibri"/>
          <w:color w:val="000000"/>
          <w:sz w:val="24"/>
          <w:szCs w:val="24"/>
        </w:rPr>
        <w:t xml:space="preserve"> ao Contratado que incorrer nas infrações acima descritas as seguintes sanções:</w:t>
      </w:r>
    </w:p>
    <w:p>
      <w:pPr>
        <w:pStyle w:val="Nivel3"/>
        <w:numPr>
          <w:ilvl w:val="2"/>
          <w:numId w:val="76"/>
        </w:numPr>
        <w:ind w:left="284" w:hanging="0"/>
        <w:rPr/>
      </w:pPr>
      <w:r>
        <w:rPr>
          <w:rStyle w:val="Normaltextrun"/>
          <w:rFonts w:ascii="Calibri" w:hAnsi="Calibri"/>
          <w:color w:val="000000"/>
          <w:sz w:val="24"/>
          <w:szCs w:val="24"/>
        </w:rPr>
        <w:t>Advertência, quando o Contratado der causa à inexecução parcial do contrato, sempre que não se justificar a imposição de penalidade mais grave;</w:t>
      </w:r>
    </w:p>
    <w:p>
      <w:pPr>
        <w:pStyle w:val="Nivel3"/>
        <w:numPr>
          <w:ilvl w:val="2"/>
          <w:numId w:val="77"/>
        </w:numPr>
        <w:ind w:left="284" w:hanging="0"/>
        <w:rPr/>
      </w:pPr>
      <w:r>
        <w:rPr>
          <w:rStyle w:val="Normaltextrun"/>
          <w:rFonts w:ascii="Calibri" w:hAnsi="Calibri"/>
          <w:color w:val="000000"/>
          <w:sz w:val="24"/>
          <w:szCs w:val="24"/>
        </w:rPr>
        <w:t>Impedimento de licitar e contratar, quando praticadas as condutas descritas nas alíneas “b”, “c” e “d” do subitem acima, sempre que não se justificar a imposição de penalidade mais grave;</w:t>
      </w:r>
    </w:p>
    <w:p>
      <w:pPr>
        <w:pStyle w:val="Nivel3"/>
        <w:numPr>
          <w:ilvl w:val="2"/>
          <w:numId w:val="78"/>
        </w:numPr>
        <w:ind w:left="284" w:hanging="0"/>
        <w:rPr/>
      </w:pPr>
      <w:r>
        <w:rPr>
          <w:rStyle w:val="Normaltextrun"/>
          <w:rFonts w:ascii="Calibri" w:hAnsi="Calibri"/>
          <w:color w:val="000000"/>
          <w:sz w:val="24"/>
          <w:szCs w:val="24"/>
        </w:rPr>
        <w:t xml:space="preserve">Declaração de inidoneidade para licitar e contratar, quando praticadas as condutas descritas nas alíneas “e”, “f”, “g” e “h” do subitem acima, bem como nas alíneas “b”, “c” e “d”, </w:t>
      </w:r>
      <w:r>
        <w:rPr>
          <w:rStyle w:val="Normaltextrun"/>
          <w:rFonts w:ascii="Calibri" w:hAnsi="Calibri"/>
          <w:i w:val="false"/>
          <w:iCs w:val="false"/>
          <w:color w:val="auto"/>
          <w:sz w:val="24"/>
          <w:szCs w:val="24"/>
        </w:rPr>
        <w:t>que justifiquem a imposição de penalidade mais grave.</w:t>
      </w:r>
    </w:p>
    <w:p>
      <w:pPr>
        <w:pStyle w:val="Nivel3"/>
        <w:numPr>
          <w:ilvl w:val="2"/>
          <w:numId w:val="79"/>
        </w:numPr>
        <w:ind w:left="284" w:hanging="0"/>
        <w:rPr/>
      </w:pPr>
      <w:commentRangeStart w:id="18"/>
      <w:r>
        <w:rPr>
          <w:rStyle w:val="Normaltextrun"/>
          <w:rFonts w:ascii="Calibri" w:hAnsi="Calibri"/>
          <w:i w:val="false"/>
          <w:iCs w:val="false"/>
          <w:color w:val="auto"/>
          <w:sz w:val="24"/>
          <w:szCs w:val="24"/>
        </w:rPr>
        <w:t>Multa</w:t>
      </w:r>
      <w:r>
        <w:rPr>
          <w:rStyle w:val="Normaltextrun"/>
          <w:rFonts w:cs="Arial" w:ascii="Calibri" w:hAnsi="Calibri"/>
          <w:i w:val="false"/>
          <w:iCs w:val="false"/>
          <w:color w:val="auto"/>
          <w:sz w:val="24"/>
          <w:szCs w:val="24"/>
        </w:rPr>
        <w:t>:</w:t>
      </w:r>
      <w:commentRangeEnd w:id="18"/>
      <w:r>
        <w:commentReference w:id="18"/>
      </w:r>
      <w:r>
        <w:rPr>
          <w:rStyle w:val="Normaltextrun"/>
          <w:rFonts w:cs="Arial" w:ascii="Calibri" w:hAnsi="Calibri"/>
          <w:i w:val="false"/>
          <w:iCs w:val="false"/>
          <w:color w:val="auto"/>
          <w:sz w:val="24"/>
          <w:szCs w:val="24"/>
        </w:rPr>
      </w:r>
    </w:p>
    <w:p>
      <w:pPr>
        <w:pStyle w:val="Nvel4R"/>
        <w:widowControl/>
        <w:numPr>
          <w:ilvl w:val="3"/>
          <w:numId w:val="80"/>
        </w:numPr>
        <w:bidi w:val="0"/>
        <w:spacing w:lineRule="auto" w:line="276" w:before="120" w:after="120"/>
        <w:ind w:left="567" w:right="0" w:hanging="0"/>
        <w:jc w:val="both"/>
        <w:rPr>
          <w:rFonts w:ascii="Carlito" w:hAnsi="Carlito" w:cs="Arial"/>
          <w:bCs/>
          <w:i w:val="false"/>
          <w:i w:val="false"/>
          <w:iCs w:val="false"/>
          <w:sz w:val="20"/>
          <w:szCs w:val="20"/>
          <w:lang w:eastAsia="pt-BR"/>
        </w:rPr>
      </w:pPr>
      <w:r>
        <w:rPr>
          <w:rStyle w:val="Normaltextrun"/>
          <w:rFonts w:cs="Arial" w:ascii="Carlito" w:hAnsi="Carlito"/>
          <w:bCs/>
          <w:i w:val="false"/>
          <w:iCs w:val="false"/>
          <w:color w:val="auto"/>
          <w:sz w:val="24"/>
          <w:szCs w:val="24"/>
          <w:lang w:eastAsia="pt-BR"/>
        </w:rPr>
        <w:t>Moratória, para as infrações descritas no item “d”, de  % (0,5 a 10 cinco décimos a dez por cento) por dia de atraso injustificado sobre o valor da parcela inadimplida, até o limite de 20 (vinte) dias</w:t>
      </w:r>
    </w:p>
    <w:p>
      <w:pPr>
        <w:pStyle w:val="Nvel4R"/>
        <w:numPr>
          <w:ilvl w:val="3"/>
          <w:numId w:val="4"/>
        </w:numPr>
        <w:ind w:left="567" w:hanging="0"/>
        <w:rPr/>
      </w:pPr>
      <w:r>
        <w:rPr>
          <w:rStyle w:val="Normaltextrun"/>
          <w:rFonts w:ascii="Calibri" w:hAnsi="Calibri"/>
          <w:i w:val="false"/>
          <w:iCs w:val="false"/>
          <w:color w:val="auto"/>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r>
        <w:rPr/>
        <w:commentReference w:id="19"/>
      </w:r>
    </w:p>
    <w:p>
      <w:pPr>
        <w:pStyle w:val="Nvel4R"/>
        <w:numPr>
          <w:ilvl w:val="4"/>
          <w:numId w:val="8"/>
        </w:numPr>
        <w:ind w:left="1418" w:hanging="0"/>
        <w:rPr>
          <w:rFonts w:ascii="Calibri" w:hAnsi="Calibri"/>
          <w:i w:val="false"/>
          <w:i w:val="false"/>
          <w:iCs w:val="false"/>
          <w:color w:val="auto"/>
          <w:sz w:val="24"/>
          <w:szCs w:val="24"/>
        </w:rPr>
      </w:pPr>
      <w:r>
        <w:rPr>
          <w:rFonts w:ascii="Calibri" w:hAnsi="Calibri"/>
          <w:i w:val="false"/>
          <w:iCs w:val="false"/>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pPr>
        <w:pStyle w:val="Nvel4R"/>
        <w:numPr>
          <w:ilvl w:val="3"/>
          <w:numId w:val="81"/>
        </w:numPr>
        <w:ind w:left="567" w:hanging="0"/>
        <w:rPr/>
      </w:pPr>
      <w:r>
        <w:rPr>
          <w:rStyle w:val="Normaltextrun"/>
          <w:rFonts w:ascii="Calibri" w:hAnsi="Calibri"/>
          <w:bCs w:val="false"/>
          <w:i w:val="false"/>
          <w:iCs w:val="false"/>
          <w:color w:val="auto"/>
          <w:sz w:val="24"/>
          <w:szCs w:val="24"/>
        </w:rPr>
        <w:t>Compensatória</w:t>
      </w:r>
      <w:r>
        <w:rPr>
          <w:rStyle w:val="Normaltextrun"/>
          <w:rFonts w:ascii="Calibri" w:hAnsi="Calibri"/>
          <w:i w:val="false"/>
          <w:iCs w:val="false"/>
          <w:color w:val="auto"/>
          <w:sz w:val="24"/>
          <w:szCs w:val="24"/>
        </w:rPr>
        <w:t>, para as infrações descritas acima alíneas “</w:t>
      </w:r>
      <w:r>
        <w:rPr>
          <w:rStyle w:val="Normaltextrun"/>
          <w:rFonts w:ascii="Calibri" w:hAnsi="Calibri"/>
          <w:b/>
          <w:i w:val="false"/>
          <w:iCs w:val="false"/>
          <w:color w:val="auto"/>
          <w:sz w:val="24"/>
          <w:szCs w:val="24"/>
        </w:rPr>
        <w:t>e</w:t>
      </w:r>
      <w:r>
        <w:rPr>
          <w:rStyle w:val="Normaltextrun"/>
          <w:rFonts w:ascii="Calibri" w:hAnsi="Calibri"/>
          <w:i w:val="false"/>
          <w:iCs w:val="false"/>
          <w:color w:val="auto"/>
          <w:sz w:val="24"/>
          <w:szCs w:val="24"/>
        </w:rPr>
        <w:t>” a “</w:t>
      </w:r>
      <w:r>
        <w:rPr>
          <w:rStyle w:val="Normaltextrun"/>
          <w:rFonts w:ascii="Calibri" w:hAnsi="Calibri"/>
          <w:b/>
          <w:i w:val="false"/>
          <w:iCs w:val="false"/>
          <w:color w:val="auto"/>
          <w:sz w:val="24"/>
          <w:szCs w:val="24"/>
        </w:rPr>
        <w:t>h</w:t>
      </w:r>
      <w:r>
        <w:rPr>
          <w:rStyle w:val="Normaltextrun"/>
          <w:rFonts w:ascii="Calibri" w:hAnsi="Calibri"/>
          <w:i w:val="false"/>
          <w:iCs w:val="false"/>
          <w:color w:val="auto"/>
          <w:sz w:val="24"/>
          <w:szCs w:val="24"/>
        </w:rPr>
        <w:t xml:space="preserve">” de </w:t>
      </w:r>
      <w:r>
        <w:rPr>
          <w:rStyle w:val="Normaltextrun"/>
          <w:rFonts w:cs="Arial" w:ascii="Carlito" w:hAnsi="Carlito"/>
          <w:b/>
          <w:bCs w:val="false"/>
          <w:i w:val="false"/>
          <w:iCs w:val="false"/>
          <w:color w:val="auto"/>
          <w:sz w:val="24"/>
          <w:szCs w:val="24"/>
          <w:lang w:eastAsia="pt-BR"/>
        </w:rPr>
        <w:t>15</w:t>
      </w:r>
      <w:r>
        <w:rPr>
          <w:rStyle w:val="Normaltextrun"/>
          <w:rFonts w:ascii="Carlito" w:hAnsi="Carlito"/>
          <w:i w:val="false"/>
          <w:iCs w:val="false"/>
          <w:color w:val="auto"/>
          <w:sz w:val="24"/>
          <w:szCs w:val="24"/>
        </w:rPr>
        <w:t>% (</w:t>
      </w:r>
      <w:r>
        <w:rPr>
          <w:rStyle w:val="Normaltextrun"/>
          <w:rFonts w:cs="Arial" w:ascii="Carlito" w:hAnsi="Carlito"/>
          <w:b/>
          <w:bCs w:val="false"/>
          <w:i w:val="false"/>
          <w:iCs w:val="false"/>
          <w:color w:val="auto"/>
          <w:sz w:val="24"/>
          <w:szCs w:val="24"/>
          <w:lang w:eastAsia="pt-BR"/>
        </w:rPr>
        <w:t>quinze</w:t>
      </w:r>
      <w:r>
        <w:rPr>
          <w:rStyle w:val="Normaltextrun"/>
          <w:rFonts w:ascii="Carlito" w:hAnsi="Carlito"/>
          <w:i w:val="false"/>
          <w:iCs w:val="false"/>
          <w:color w:val="auto"/>
          <w:sz w:val="24"/>
          <w:szCs w:val="24"/>
        </w:rPr>
        <w:t xml:space="preserve"> por cento) a </w:t>
      </w:r>
      <w:r>
        <w:rPr>
          <w:rStyle w:val="Normaltextrun"/>
          <w:rFonts w:cs="Arial" w:ascii="Carlito" w:hAnsi="Carlito"/>
          <w:b/>
          <w:bCs w:val="false"/>
          <w:i w:val="false"/>
          <w:iCs w:val="false"/>
          <w:color w:val="auto"/>
          <w:sz w:val="24"/>
          <w:szCs w:val="24"/>
          <w:lang w:eastAsia="pt-BR"/>
        </w:rPr>
        <w:t>30</w:t>
      </w:r>
      <w:r>
        <w:rPr>
          <w:rStyle w:val="Normaltextrun"/>
          <w:rFonts w:ascii="Carlito" w:hAnsi="Carlito"/>
          <w:i w:val="false"/>
          <w:iCs w:val="false"/>
          <w:color w:val="auto"/>
          <w:sz w:val="24"/>
          <w:szCs w:val="24"/>
        </w:rPr>
        <w:t>% (</w:t>
      </w:r>
      <w:r>
        <w:rPr>
          <w:rStyle w:val="Normaltextrun"/>
          <w:rFonts w:cs="Arial" w:ascii="Carlito" w:hAnsi="Carlito"/>
          <w:b/>
          <w:bCs w:val="false"/>
          <w:i w:val="false"/>
          <w:iCs w:val="false"/>
          <w:color w:val="auto"/>
          <w:sz w:val="24"/>
          <w:szCs w:val="24"/>
          <w:lang w:eastAsia="pt-BR"/>
        </w:rPr>
        <w:t>trinta</w:t>
      </w:r>
      <w:r>
        <w:rPr>
          <w:rStyle w:val="Normaltextrun"/>
          <w:rFonts w:ascii="Carlito" w:hAnsi="Carlito"/>
          <w:i w:val="false"/>
          <w:iCs w:val="false"/>
          <w:color w:val="auto"/>
          <w:sz w:val="24"/>
          <w:szCs w:val="24"/>
        </w:rPr>
        <w:t xml:space="preserve"> por cento) do valor da contratação.</w:t>
      </w:r>
    </w:p>
    <w:p>
      <w:pPr>
        <w:pStyle w:val="Nvel4R"/>
        <w:numPr>
          <w:ilvl w:val="3"/>
          <w:numId w:val="82"/>
        </w:numPr>
        <w:ind w:left="567" w:hanging="0"/>
        <w:rPr/>
      </w:pPr>
      <w:r>
        <w:rPr>
          <w:rStyle w:val="Normaltextrun"/>
          <w:rFonts w:ascii="Calibri" w:hAnsi="Calibri"/>
          <w:bCs w:val="false"/>
          <w:i w:val="false"/>
          <w:iCs w:val="false"/>
          <w:color w:val="auto"/>
          <w:sz w:val="24"/>
          <w:szCs w:val="24"/>
        </w:rPr>
        <w:t>Compensatória</w:t>
      </w:r>
      <w:r>
        <w:rPr>
          <w:rStyle w:val="Normaltextrun"/>
          <w:rFonts w:ascii="Calibri" w:hAnsi="Calibri"/>
          <w:i w:val="false"/>
          <w:iCs w:val="false"/>
          <w:color w:val="auto"/>
          <w:sz w:val="24"/>
          <w:szCs w:val="24"/>
        </w:rPr>
        <w:t>, para a inexecução total do contrato prevista acima na alínea “</w:t>
      </w:r>
      <w:r>
        <w:rPr>
          <w:rStyle w:val="Normaltextrun"/>
          <w:rFonts w:ascii="Calibri" w:hAnsi="Calibri"/>
          <w:b/>
          <w:i w:val="false"/>
          <w:iCs w:val="false"/>
          <w:color w:val="auto"/>
          <w:sz w:val="24"/>
          <w:szCs w:val="24"/>
        </w:rPr>
        <w:t>c</w:t>
      </w:r>
      <w:r>
        <w:rPr>
          <w:rStyle w:val="Normaltextrun"/>
          <w:rFonts w:ascii="Calibri" w:hAnsi="Calibri"/>
          <w:i w:val="false"/>
          <w:iCs w:val="false"/>
          <w:color w:val="auto"/>
          <w:sz w:val="24"/>
          <w:szCs w:val="24"/>
        </w:rPr>
        <w:t>”, de</w:t>
      </w:r>
      <w:r>
        <w:rPr>
          <w:rStyle w:val="Normaltextrun"/>
          <w:rFonts w:cs="Arial" w:ascii="Carlito" w:hAnsi="Carlito"/>
          <w:b/>
          <w:bCs w:val="false"/>
          <w:i w:val="false"/>
          <w:iCs w:val="false"/>
          <w:color w:val="auto"/>
          <w:sz w:val="24"/>
          <w:szCs w:val="24"/>
          <w:lang w:eastAsia="pt-BR"/>
        </w:rPr>
        <w:t>15</w:t>
      </w:r>
      <w:r>
        <w:rPr>
          <w:rStyle w:val="Normaltextrun"/>
          <w:rFonts w:ascii="Carlito" w:hAnsi="Carlito"/>
          <w:i w:val="false"/>
          <w:iCs w:val="false"/>
          <w:color w:val="auto"/>
          <w:sz w:val="24"/>
          <w:szCs w:val="24"/>
        </w:rPr>
        <w:t>% (</w:t>
      </w:r>
      <w:r>
        <w:rPr>
          <w:rStyle w:val="Normaltextrun"/>
          <w:rFonts w:cs="Arial" w:ascii="Carlito" w:hAnsi="Carlito"/>
          <w:b/>
          <w:bCs w:val="false"/>
          <w:i w:val="false"/>
          <w:iCs w:val="false"/>
          <w:color w:val="auto"/>
          <w:sz w:val="24"/>
          <w:szCs w:val="24"/>
          <w:lang w:eastAsia="pt-BR"/>
        </w:rPr>
        <w:t>quinze</w:t>
      </w:r>
      <w:r>
        <w:rPr>
          <w:rStyle w:val="Normaltextrun"/>
          <w:rFonts w:ascii="Carlito" w:hAnsi="Carlito"/>
          <w:i w:val="false"/>
          <w:iCs w:val="false"/>
          <w:color w:val="auto"/>
          <w:sz w:val="24"/>
          <w:szCs w:val="24"/>
        </w:rPr>
        <w:t xml:space="preserve"> por cento) a </w:t>
      </w:r>
      <w:r>
        <w:rPr>
          <w:rStyle w:val="Normaltextrun"/>
          <w:rFonts w:cs="Arial" w:ascii="Carlito" w:hAnsi="Carlito"/>
          <w:b/>
          <w:bCs w:val="false"/>
          <w:i w:val="false"/>
          <w:iCs w:val="false"/>
          <w:color w:val="auto"/>
          <w:sz w:val="24"/>
          <w:szCs w:val="24"/>
          <w:lang w:eastAsia="pt-BR"/>
        </w:rPr>
        <w:t>30</w:t>
      </w:r>
      <w:r>
        <w:rPr>
          <w:rStyle w:val="Normaltextrun"/>
          <w:rFonts w:ascii="Carlito" w:hAnsi="Carlito"/>
          <w:i w:val="false"/>
          <w:iCs w:val="false"/>
          <w:color w:val="auto"/>
          <w:sz w:val="24"/>
          <w:szCs w:val="24"/>
        </w:rPr>
        <w:t>% (</w:t>
      </w:r>
      <w:r>
        <w:rPr>
          <w:rStyle w:val="Normaltextrun"/>
          <w:rFonts w:cs="Arial" w:ascii="Carlito" w:hAnsi="Carlito"/>
          <w:b/>
          <w:bCs w:val="false"/>
          <w:i w:val="false"/>
          <w:iCs w:val="false"/>
          <w:color w:val="auto"/>
          <w:sz w:val="24"/>
          <w:szCs w:val="24"/>
          <w:lang w:eastAsia="pt-BR"/>
        </w:rPr>
        <w:t>trinta</w:t>
      </w:r>
      <w:r>
        <w:rPr>
          <w:rStyle w:val="Normaltextrun"/>
          <w:rFonts w:ascii="Carlito" w:hAnsi="Carlito"/>
          <w:i w:val="false"/>
          <w:iCs w:val="false"/>
          <w:color w:val="auto"/>
          <w:sz w:val="24"/>
          <w:szCs w:val="24"/>
        </w:rPr>
        <w:t xml:space="preserve"> por cento) do valor da contratação.</w:t>
      </w:r>
    </w:p>
    <w:p>
      <w:pPr>
        <w:pStyle w:val="Nvel4R"/>
        <w:numPr>
          <w:ilvl w:val="3"/>
          <w:numId w:val="83"/>
        </w:numPr>
        <w:ind w:left="567" w:hanging="0"/>
        <w:rPr/>
      </w:pPr>
      <w:r>
        <w:rPr>
          <w:rStyle w:val="Normaltextrun"/>
          <w:rFonts w:ascii="Calibri" w:hAnsi="Calibri"/>
          <w:bCs w:val="false"/>
          <w:i w:val="false"/>
          <w:iCs w:val="false"/>
          <w:color w:val="auto"/>
          <w:sz w:val="24"/>
          <w:szCs w:val="24"/>
        </w:rPr>
        <w:t>Compensatória</w:t>
      </w:r>
      <w:r>
        <w:rPr>
          <w:rStyle w:val="Normaltextrun"/>
          <w:rFonts w:ascii="Calibri" w:hAnsi="Calibri"/>
          <w:i w:val="false"/>
          <w:iCs w:val="false"/>
          <w:color w:val="auto"/>
          <w:sz w:val="24"/>
          <w:szCs w:val="24"/>
        </w:rPr>
        <w:t>, para a infração descrita acima na alínea “</w:t>
      </w:r>
      <w:r>
        <w:rPr>
          <w:rStyle w:val="Normaltextrun"/>
          <w:rFonts w:ascii="Calibri" w:hAnsi="Calibri"/>
          <w:b/>
          <w:i w:val="false"/>
          <w:iCs w:val="false"/>
          <w:color w:val="auto"/>
          <w:sz w:val="24"/>
          <w:szCs w:val="24"/>
        </w:rPr>
        <w:t>b</w:t>
      </w:r>
      <w:r>
        <w:rPr>
          <w:rStyle w:val="Normaltextrun"/>
          <w:rFonts w:ascii="Calibri" w:hAnsi="Calibri"/>
          <w:i w:val="false"/>
          <w:iCs w:val="false"/>
          <w:color w:val="auto"/>
          <w:sz w:val="24"/>
          <w:szCs w:val="24"/>
        </w:rPr>
        <w:t xml:space="preserve">”, de </w:t>
      </w:r>
      <w:r>
        <w:rPr>
          <w:rStyle w:val="Normaltextrun"/>
          <w:rFonts w:ascii="Carlito" w:hAnsi="Carlito"/>
          <w:i w:val="false"/>
          <w:iCs w:val="false"/>
          <w:color w:val="auto"/>
          <w:sz w:val="24"/>
          <w:szCs w:val="24"/>
        </w:rPr>
        <w:t>1</w:t>
      </w:r>
      <w:r>
        <w:rPr>
          <w:rStyle w:val="Normaltextrun"/>
          <w:rFonts w:ascii="Carlito" w:hAnsi="Carlito"/>
          <w:b/>
          <w:bCs w:val="false"/>
          <w:i w:val="false"/>
          <w:iCs w:val="false"/>
          <w:color w:val="auto"/>
          <w:sz w:val="24"/>
          <w:szCs w:val="24"/>
        </w:rPr>
        <w:t>0</w:t>
      </w:r>
      <w:r>
        <w:rPr>
          <w:rStyle w:val="Normaltextrun"/>
          <w:rFonts w:ascii="Carlito" w:hAnsi="Carlito"/>
          <w:i w:val="false"/>
          <w:iCs w:val="false"/>
          <w:color w:val="auto"/>
          <w:sz w:val="24"/>
          <w:szCs w:val="24"/>
        </w:rPr>
        <w:t>% (</w:t>
      </w:r>
      <w:r>
        <w:rPr>
          <w:rStyle w:val="Normaltextrun"/>
          <w:rFonts w:cs="Arial" w:ascii="Carlito" w:hAnsi="Carlito"/>
          <w:b/>
          <w:bCs w:val="false"/>
          <w:i w:val="false"/>
          <w:iCs w:val="false"/>
          <w:color w:val="auto"/>
          <w:sz w:val="24"/>
          <w:szCs w:val="24"/>
          <w:lang w:eastAsia="pt-BR"/>
        </w:rPr>
        <w:t>dez</w:t>
      </w:r>
      <w:r>
        <w:rPr>
          <w:rStyle w:val="Normaltextrun"/>
          <w:rFonts w:ascii="Carlito" w:hAnsi="Carlito"/>
          <w:i w:val="false"/>
          <w:iCs w:val="false"/>
          <w:color w:val="auto"/>
          <w:sz w:val="24"/>
          <w:szCs w:val="24"/>
        </w:rPr>
        <w:t xml:space="preserve"> por cento) a 1</w:t>
      </w:r>
      <w:r>
        <w:rPr>
          <w:rStyle w:val="Normaltextrun"/>
          <w:rFonts w:ascii="Carlito" w:hAnsi="Carlito"/>
          <w:b/>
          <w:bCs w:val="false"/>
          <w:i w:val="false"/>
          <w:iCs w:val="false"/>
          <w:color w:val="auto"/>
          <w:sz w:val="24"/>
          <w:szCs w:val="24"/>
        </w:rPr>
        <w:t>5</w:t>
      </w:r>
      <w:r>
        <w:rPr>
          <w:rStyle w:val="Normaltextrun"/>
          <w:rFonts w:ascii="Carlito" w:hAnsi="Carlito"/>
          <w:i w:val="false"/>
          <w:iCs w:val="false"/>
          <w:color w:val="auto"/>
          <w:sz w:val="24"/>
          <w:szCs w:val="24"/>
        </w:rPr>
        <w:t>% (</w:t>
      </w:r>
      <w:r>
        <w:rPr>
          <w:rStyle w:val="Normaltextrun"/>
          <w:rFonts w:cs="Arial" w:ascii="Carlito" w:hAnsi="Carlito"/>
          <w:b/>
          <w:bCs w:val="false"/>
          <w:i w:val="false"/>
          <w:iCs w:val="false"/>
          <w:color w:val="auto"/>
          <w:sz w:val="24"/>
          <w:szCs w:val="24"/>
          <w:lang w:eastAsia="pt-BR"/>
        </w:rPr>
        <w:t>quinze</w:t>
      </w:r>
      <w:r>
        <w:rPr>
          <w:rStyle w:val="Normaltextrun"/>
          <w:rFonts w:ascii="Carlito" w:hAnsi="Carlito"/>
          <w:i w:val="false"/>
          <w:iCs w:val="false"/>
          <w:color w:val="auto"/>
          <w:sz w:val="24"/>
          <w:szCs w:val="24"/>
        </w:rPr>
        <w:t xml:space="preserve"> por cento) do valor da contratação.</w:t>
      </w:r>
    </w:p>
    <w:p>
      <w:pPr>
        <w:pStyle w:val="Nvel4R"/>
        <w:numPr>
          <w:ilvl w:val="3"/>
          <w:numId w:val="84"/>
        </w:numPr>
        <w:ind w:left="567" w:hanging="0"/>
        <w:rPr/>
      </w:pPr>
      <w:r>
        <w:rPr>
          <w:rStyle w:val="Normaltextrun"/>
          <w:rFonts w:ascii="Calibri" w:hAnsi="Calibri"/>
          <w:i w:val="false"/>
          <w:iCs w:val="false"/>
          <w:color w:val="auto"/>
          <w:sz w:val="24"/>
          <w:szCs w:val="24"/>
        </w:rPr>
        <w:t xml:space="preserve">Compensatória, em substituição à multa moratória para a infração descrita acima na alínea “d”, de </w:t>
      </w:r>
      <w:bookmarkStart w:id="11" w:name="_Hlk175669195"/>
      <w:bookmarkEnd w:id="11"/>
      <w:r>
        <w:rPr>
          <w:rStyle w:val="Normaltextrun"/>
          <w:rFonts w:ascii="Carlito" w:hAnsi="Carlito"/>
          <w:i w:val="false"/>
          <w:iCs w:val="false"/>
          <w:color w:val="auto"/>
          <w:sz w:val="24"/>
          <w:szCs w:val="24"/>
        </w:rPr>
        <w:t>0</w:t>
      </w:r>
      <w:r>
        <w:rPr>
          <w:rStyle w:val="Normaltextrun"/>
          <w:rFonts w:ascii="Carlito" w:hAnsi="Carlito"/>
          <w:b/>
          <w:i w:val="false"/>
          <w:iCs w:val="false"/>
          <w:color w:val="auto"/>
          <w:sz w:val="24"/>
          <w:szCs w:val="24"/>
        </w:rPr>
        <w:t>,5</w:t>
      </w:r>
      <w:r>
        <w:rPr>
          <w:rStyle w:val="Normaltextrun"/>
          <w:rFonts w:ascii="Carlito" w:hAnsi="Carlito"/>
          <w:i w:val="false"/>
          <w:iCs w:val="false"/>
          <w:color w:val="auto"/>
          <w:sz w:val="24"/>
          <w:szCs w:val="24"/>
        </w:rPr>
        <w:t>% (</w:t>
      </w:r>
      <w:r>
        <w:rPr>
          <w:rStyle w:val="Normaltextrun"/>
          <w:rFonts w:ascii="Carlito" w:hAnsi="Carlito"/>
          <w:b/>
          <w:i w:val="false"/>
          <w:iCs w:val="false"/>
          <w:color w:val="auto"/>
          <w:sz w:val="24"/>
          <w:szCs w:val="24"/>
        </w:rPr>
        <w:t>cinco décimos</w:t>
      </w:r>
      <w:r>
        <w:rPr>
          <w:rStyle w:val="Normaltextrun"/>
          <w:rFonts w:ascii="Carlito" w:hAnsi="Carlito"/>
          <w:i w:val="false"/>
          <w:iCs w:val="false"/>
          <w:color w:val="auto"/>
          <w:sz w:val="24"/>
          <w:szCs w:val="24"/>
        </w:rPr>
        <w:t xml:space="preserve"> por cento) a 1</w:t>
      </w:r>
      <w:r>
        <w:rPr>
          <w:rStyle w:val="Normaltextrun"/>
          <w:rFonts w:ascii="Carlito" w:hAnsi="Carlito"/>
          <w:b/>
          <w:i w:val="false"/>
          <w:iCs w:val="false"/>
          <w:color w:val="auto"/>
          <w:sz w:val="24"/>
          <w:szCs w:val="24"/>
        </w:rPr>
        <w:t>0</w:t>
      </w:r>
      <w:r>
        <w:rPr>
          <w:rStyle w:val="Normaltextrun"/>
          <w:rFonts w:ascii="Carlito" w:hAnsi="Carlito"/>
          <w:i w:val="false"/>
          <w:iCs w:val="false"/>
          <w:color w:val="auto"/>
          <w:sz w:val="24"/>
          <w:szCs w:val="24"/>
        </w:rPr>
        <w:t>% (</w:t>
      </w:r>
      <w:r>
        <w:rPr>
          <w:rStyle w:val="Normaltextrun"/>
          <w:rFonts w:cs="Arial" w:ascii="Carlito" w:hAnsi="Carlito"/>
          <w:b/>
          <w:bCs/>
          <w:i w:val="false"/>
          <w:iCs w:val="false"/>
          <w:color w:val="auto"/>
          <w:sz w:val="24"/>
          <w:szCs w:val="24"/>
          <w:lang w:eastAsia="pt-BR"/>
        </w:rPr>
        <w:t>dez</w:t>
      </w:r>
      <w:r>
        <w:rPr>
          <w:rStyle w:val="Normaltextrun"/>
          <w:rFonts w:ascii="Carlito" w:hAnsi="Carlito"/>
          <w:i w:val="false"/>
          <w:iCs w:val="false"/>
          <w:color w:val="auto"/>
          <w:sz w:val="24"/>
          <w:szCs w:val="24"/>
        </w:rPr>
        <w:t xml:space="preserve"> por cento) do valor da contratação.</w:t>
      </w:r>
    </w:p>
    <w:p>
      <w:pPr>
        <w:pStyle w:val="Nvel4R"/>
        <w:numPr>
          <w:ilvl w:val="3"/>
          <w:numId w:val="85"/>
        </w:numPr>
        <w:ind w:left="567" w:hanging="0"/>
        <w:rPr/>
      </w:pPr>
      <w:r>
        <w:rPr>
          <w:rStyle w:val="Normaltextrun"/>
          <w:rFonts w:ascii="Calibri" w:hAnsi="Calibri"/>
          <w:bCs w:val="false"/>
          <w:i w:val="false"/>
          <w:iCs w:val="false"/>
          <w:color w:val="auto"/>
          <w:sz w:val="24"/>
          <w:szCs w:val="24"/>
        </w:rPr>
        <w:t>Compensatória</w:t>
      </w:r>
      <w:r>
        <w:rPr>
          <w:rStyle w:val="Normaltextrun"/>
          <w:rFonts w:ascii="Calibri" w:hAnsi="Calibri"/>
          <w:i w:val="false"/>
          <w:iCs w:val="false"/>
          <w:color w:val="auto"/>
          <w:sz w:val="24"/>
          <w:szCs w:val="24"/>
        </w:rPr>
        <w:t>, para a infração descrita acima na alínea “</w:t>
      </w:r>
      <w:r>
        <w:rPr>
          <w:rStyle w:val="Normaltextrun"/>
          <w:rFonts w:ascii="Calibri" w:hAnsi="Calibri"/>
          <w:b/>
          <w:i w:val="false"/>
          <w:iCs w:val="false"/>
          <w:color w:val="auto"/>
          <w:sz w:val="24"/>
          <w:szCs w:val="24"/>
        </w:rPr>
        <w:t>a</w:t>
      </w:r>
      <w:r>
        <w:rPr>
          <w:rStyle w:val="Normaltextrun"/>
          <w:rFonts w:ascii="Calibri" w:hAnsi="Calibri"/>
          <w:i w:val="false"/>
          <w:iCs w:val="false"/>
          <w:color w:val="auto"/>
          <w:sz w:val="24"/>
          <w:szCs w:val="24"/>
        </w:rPr>
        <w:t xml:space="preserve">”, de </w:t>
      </w:r>
      <w:r>
        <w:rPr>
          <w:rStyle w:val="Normaltextrun"/>
          <w:rFonts w:cs="Arial" w:ascii="Carlito" w:hAnsi="Carlito"/>
          <w:b/>
          <w:bCs w:val="false"/>
          <w:i w:val="false"/>
          <w:iCs w:val="false"/>
          <w:color w:val="auto"/>
          <w:sz w:val="24"/>
          <w:szCs w:val="24"/>
          <w:lang w:eastAsia="pt-BR"/>
        </w:rPr>
        <w:t>0,5</w:t>
      </w:r>
      <w:r>
        <w:rPr>
          <w:rStyle w:val="Normaltextrun"/>
          <w:rFonts w:ascii="Carlito" w:hAnsi="Carlito"/>
          <w:i w:val="false"/>
          <w:iCs w:val="false"/>
          <w:color w:val="auto"/>
          <w:sz w:val="24"/>
          <w:szCs w:val="24"/>
        </w:rPr>
        <w:t xml:space="preserve">% ( </w:t>
      </w:r>
      <w:r>
        <w:rPr>
          <w:rStyle w:val="Normaltextrun"/>
          <w:rFonts w:ascii="Carlito" w:hAnsi="Carlito"/>
          <w:b/>
          <w:bCs w:val="false"/>
          <w:i w:val="false"/>
          <w:iCs w:val="false"/>
          <w:color w:val="auto"/>
          <w:sz w:val="24"/>
          <w:szCs w:val="24"/>
        </w:rPr>
        <w:t>cinco décimos</w:t>
      </w:r>
      <w:r>
        <w:rPr>
          <w:rStyle w:val="Normaltextrun"/>
          <w:rFonts w:ascii="Carlito" w:hAnsi="Carlito"/>
          <w:i w:val="false"/>
          <w:iCs w:val="false"/>
          <w:color w:val="auto"/>
          <w:sz w:val="24"/>
          <w:szCs w:val="24"/>
        </w:rPr>
        <w:t xml:space="preserve"> por cento) a 1</w:t>
      </w:r>
      <w:r>
        <w:rPr>
          <w:rStyle w:val="Normaltextrun"/>
          <w:rFonts w:ascii="Carlito" w:hAnsi="Carlito"/>
          <w:b/>
          <w:i w:val="false"/>
          <w:iCs w:val="false"/>
          <w:color w:val="auto"/>
          <w:sz w:val="24"/>
          <w:szCs w:val="24"/>
        </w:rPr>
        <w:t>0</w:t>
      </w:r>
      <w:r>
        <w:rPr>
          <w:rStyle w:val="Normaltextrun"/>
          <w:rFonts w:ascii="Carlito" w:hAnsi="Carlito"/>
          <w:i w:val="false"/>
          <w:iCs w:val="false"/>
          <w:color w:val="auto"/>
          <w:sz w:val="24"/>
          <w:szCs w:val="24"/>
        </w:rPr>
        <w:t>% (</w:t>
      </w:r>
      <w:r>
        <w:rPr>
          <w:rStyle w:val="Normaltextrun"/>
          <w:rFonts w:cs="Arial" w:ascii="Carlito" w:hAnsi="Carlito"/>
          <w:b/>
          <w:bCs/>
          <w:i w:val="false"/>
          <w:iCs w:val="false"/>
          <w:color w:val="auto"/>
          <w:sz w:val="24"/>
          <w:szCs w:val="24"/>
          <w:lang w:eastAsia="pt-BR"/>
        </w:rPr>
        <w:t>dez</w:t>
      </w:r>
      <w:r>
        <w:rPr>
          <w:rStyle w:val="Normaltextrun"/>
          <w:rFonts w:ascii="Carlito" w:hAnsi="Carlito"/>
          <w:i w:val="false"/>
          <w:iCs w:val="false"/>
          <w:color w:val="auto"/>
          <w:sz w:val="24"/>
          <w:szCs w:val="24"/>
        </w:rPr>
        <w:t xml:space="preserve"> por cento) do valor da contratação.</w:t>
      </w:r>
    </w:p>
    <w:p>
      <w:pPr>
        <w:pStyle w:val="Nivel5"/>
        <w:numPr>
          <w:ilvl w:val="0"/>
          <w:numId w:val="0"/>
        </w:numPr>
        <w:ind w:left="1495" w:hanging="0"/>
        <w:rPr>
          <w:rStyle w:val="Normaltextrun"/>
          <w:rFonts w:ascii="Calibri" w:hAnsi="Calibri"/>
          <w:i w:val="false"/>
          <w:i w:val="false"/>
          <w:iCs/>
          <w:sz w:val="24"/>
          <w:szCs w:val="24"/>
        </w:rPr>
      </w:pPr>
      <w:r>
        <w:rPr>
          <w:rFonts w:ascii="Calibri" w:hAnsi="Calibri"/>
          <w:i w:val="false"/>
          <w:iCs/>
          <w:sz w:val="24"/>
          <w:szCs w:val="24"/>
        </w:rPr>
      </w:r>
    </w:p>
    <w:p>
      <w:pPr>
        <w:pStyle w:val="Nvel02"/>
        <w:numPr>
          <w:ilvl w:val="1"/>
          <w:numId w:val="4"/>
        </w:numPr>
        <w:ind w:left="0" w:hanging="0"/>
        <w:rPr/>
      </w:pPr>
      <w:r>
        <w:rPr>
          <w:rStyle w:val="Normaltextrun"/>
          <w:rFonts w:ascii="Calibri" w:hAnsi="Calibri"/>
          <w:color w:val="000000"/>
          <w:sz w:val="24"/>
          <w:szCs w:val="24"/>
        </w:rPr>
        <w:t xml:space="preserve">A aplicação das sanções previstas </w:t>
      </w:r>
      <w:bookmarkStart w:id="12" w:name="_Hlk170830409"/>
      <w:r>
        <w:rPr>
          <w:rStyle w:val="Normaltextrun"/>
          <w:rFonts w:ascii="Calibri" w:hAnsi="Calibri"/>
          <w:color w:val="000000"/>
          <w:sz w:val="24"/>
          <w:szCs w:val="24"/>
        </w:rPr>
        <w:t xml:space="preserve">neste </w:t>
      </w:r>
      <w:r>
        <w:rPr>
          <w:rFonts w:ascii="Calibri" w:hAnsi="Calibri"/>
          <w:sz w:val="24"/>
          <w:szCs w:val="24"/>
        </w:rPr>
        <w:t xml:space="preserve">Termo de Referência </w:t>
      </w:r>
      <w:bookmarkEnd w:id="12"/>
      <w:r>
        <w:rPr>
          <w:rStyle w:val="Normaltextrun"/>
          <w:rFonts w:ascii="Calibri" w:hAnsi="Calibri"/>
          <w:color w:val="000000"/>
          <w:sz w:val="24"/>
          <w:szCs w:val="24"/>
        </w:rPr>
        <w:t>não exclui, em hipótese alguma, a obrigação de reparação integral do dano causado ao Contratante</w:t>
      </w:r>
      <w:r>
        <w:rPr>
          <w:rStyle w:val="Normaltextrun"/>
          <w:rFonts w:ascii="Calibri" w:hAnsi="Calibri"/>
          <w:sz w:val="24"/>
          <w:szCs w:val="24"/>
        </w:rPr>
        <w:t>.</w:t>
      </w:r>
    </w:p>
    <w:p>
      <w:pPr>
        <w:pStyle w:val="Nvel02"/>
        <w:numPr>
          <w:ilvl w:val="1"/>
          <w:numId w:val="4"/>
        </w:numPr>
        <w:ind w:left="0" w:hanging="0"/>
        <w:rPr/>
      </w:pPr>
      <w:r>
        <w:rPr>
          <w:rStyle w:val="Normaltextrun"/>
          <w:rFonts w:ascii="Calibri" w:hAnsi="Calibri"/>
          <w:color w:val="000000"/>
          <w:sz w:val="24"/>
          <w:szCs w:val="24"/>
        </w:rPr>
        <w:t xml:space="preserve">Todas as sanções previstas neste </w:t>
      </w:r>
      <w:r>
        <w:rPr>
          <w:rFonts w:ascii="Calibri" w:hAnsi="Calibri"/>
          <w:sz w:val="24"/>
          <w:szCs w:val="24"/>
        </w:rPr>
        <w:t>Termo de Referência</w:t>
      </w:r>
      <w:r>
        <w:rPr>
          <w:rStyle w:val="Normaltextrun"/>
          <w:rFonts w:ascii="Calibri" w:hAnsi="Calibri"/>
          <w:color w:val="000000"/>
          <w:sz w:val="24"/>
          <w:szCs w:val="24"/>
        </w:rPr>
        <w:t xml:space="preserve"> poderão ser aplicadas cumulativamente com a multa</w:t>
      </w:r>
      <w:r>
        <w:rPr>
          <w:rStyle w:val="Normaltextrun"/>
          <w:rFonts w:ascii="Calibri" w:hAnsi="Calibri"/>
          <w:sz w:val="24"/>
          <w:szCs w:val="24"/>
        </w:rPr>
        <w:t>.</w:t>
      </w:r>
    </w:p>
    <w:p>
      <w:pPr>
        <w:pStyle w:val="Nvel02"/>
        <w:numPr>
          <w:ilvl w:val="1"/>
          <w:numId w:val="4"/>
        </w:numPr>
        <w:ind w:left="0" w:hanging="0"/>
        <w:rPr/>
      </w:pPr>
      <w:r>
        <w:rPr>
          <w:rFonts w:ascii="Calibri" w:hAnsi="Calibri"/>
          <w:sz w:val="24"/>
          <w:szCs w:val="24"/>
        </w:rPr>
        <w:t xml:space="preserve">Antes da aplicação da </w:t>
      </w:r>
      <w:r>
        <w:rPr>
          <w:rStyle w:val="Normaltextrun"/>
          <w:rFonts w:ascii="Calibri" w:hAnsi="Calibri"/>
          <w:sz w:val="24"/>
          <w:szCs w:val="24"/>
        </w:rPr>
        <w:t>multa</w:t>
      </w:r>
      <w:r>
        <w:rPr>
          <w:rFonts w:ascii="Calibri" w:hAnsi="Calibri"/>
          <w:sz w:val="24"/>
          <w:szCs w:val="24"/>
        </w:rPr>
        <w:t xml:space="preserve"> será facultada a defesa do interessado no prazo de 15 (quinze) dias úteis, contado da data de sua intimação</w:t>
      </w:r>
      <w:r>
        <w:rPr>
          <w:rStyle w:val="Normaltextrun"/>
          <w:rFonts w:ascii="Calibri" w:hAnsi="Calibri"/>
          <w:sz w:val="24"/>
          <w:szCs w:val="24"/>
        </w:rPr>
        <w:t>.</w:t>
      </w:r>
    </w:p>
    <w:p>
      <w:pPr>
        <w:pStyle w:val="Nvel02"/>
        <w:numPr>
          <w:ilvl w:val="1"/>
          <w:numId w:val="4"/>
        </w:numPr>
        <w:ind w:left="0" w:hanging="0"/>
        <w:rPr/>
      </w:pPr>
      <w:r>
        <w:rPr>
          <w:rStyle w:val="Normaltextrun"/>
          <w:rFonts w:ascii="Calibri" w:hAnsi="Calibri"/>
          <w:color w:val="000000"/>
          <w:sz w:val="24"/>
          <w:szCs w:val="24"/>
        </w:rPr>
        <w:t xml:space="preserve">Se a multa aplicada e as indenizações cabíveis forem superiores ao valor do pagamento </w:t>
      </w:r>
      <w:r>
        <w:rPr>
          <w:rFonts w:ascii="Calibri" w:hAnsi="Calibri"/>
          <w:sz w:val="24"/>
          <w:szCs w:val="24"/>
        </w:rPr>
        <w:t>eventualmente</w:t>
      </w:r>
      <w:r>
        <w:rPr>
          <w:rStyle w:val="Normaltextrun"/>
          <w:rFonts w:ascii="Calibri" w:hAnsi="Calibri"/>
          <w:color w:val="000000"/>
          <w:sz w:val="24"/>
          <w:szCs w:val="24"/>
        </w:rPr>
        <w:t xml:space="preserve"> devido pelo Contratante ao Contratado, além da perda desse valor, a diferença será descontada da garantia prestada ou será cobrada judicialmente.</w:t>
      </w:r>
    </w:p>
    <w:p>
      <w:pPr>
        <w:pStyle w:val="Nvel02"/>
        <w:numPr>
          <w:ilvl w:val="1"/>
          <w:numId w:val="4"/>
        </w:numPr>
        <w:ind w:left="0" w:hanging="0"/>
        <w:rPr/>
      </w:pPr>
      <w:r>
        <w:rPr>
          <w:rStyle w:val="Normaltextrun"/>
          <w:rFonts w:ascii="Calibri" w:hAnsi="Calibri"/>
          <w:color w:val="000000"/>
          <w:sz w:val="24"/>
          <w:szCs w:val="24"/>
        </w:rPr>
        <w:t xml:space="preserve">A multa poderá ser recolhida </w:t>
      </w:r>
      <w:r>
        <w:rPr>
          <w:rFonts w:ascii="Calibri" w:hAnsi="Calibri"/>
          <w:sz w:val="24"/>
          <w:szCs w:val="24"/>
        </w:rPr>
        <w:t>administrativamente</w:t>
      </w:r>
      <w:r>
        <w:rPr>
          <w:rStyle w:val="Normaltextrun"/>
          <w:rFonts w:ascii="Calibri" w:hAnsi="Calibri"/>
          <w:color w:val="000000"/>
          <w:sz w:val="24"/>
          <w:szCs w:val="24"/>
        </w:rPr>
        <w:t xml:space="preserve"> no prazo máximo </w:t>
      </w:r>
      <w:r>
        <w:rPr>
          <w:rStyle w:val="Normaltextrun"/>
          <w:rFonts w:ascii="Calibri" w:hAnsi="Calibri"/>
          <w:i w:val="false"/>
          <w:iCs w:val="false"/>
          <w:color w:val="auto"/>
          <w:sz w:val="24"/>
          <w:szCs w:val="24"/>
        </w:rPr>
        <w:t xml:space="preserve">de </w:t>
      </w:r>
      <w:r>
        <w:rPr>
          <w:rStyle w:val="Normaltextrun"/>
          <w:rFonts w:eastAsia="Arial" w:cs="Arial" w:ascii="Calibri" w:hAnsi="Calibri"/>
          <w:i w:val="false"/>
          <w:iCs w:val="false"/>
          <w:color w:val="auto"/>
          <w:sz w:val="24"/>
          <w:szCs w:val="24"/>
          <w:lang w:eastAsia="pt-BR"/>
        </w:rPr>
        <w:t>20</w:t>
      </w:r>
      <w:r>
        <w:rPr>
          <w:rStyle w:val="Normaltextrun"/>
          <w:rFonts w:ascii="Calibri" w:hAnsi="Calibri"/>
          <w:i w:val="false"/>
          <w:iCs w:val="false"/>
          <w:color w:val="auto"/>
          <w:sz w:val="24"/>
          <w:szCs w:val="24"/>
        </w:rPr>
        <w:t xml:space="preserve"> (vinte) dias, a</w:t>
      </w:r>
      <w:r>
        <w:rPr>
          <w:rStyle w:val="Normaltextrun"/>
          <w:rFonts w:ascii="Calibri" w:hAnsi="Calibri"/>
          <w:color w:val="000000"/>
          <w:sz w:val="24"/>
          <w:szCs w:val="24"/>
        </w:rPr>
        <w:t xml:space="preserve"> contar da data do recebimento da comunicação enviada pela autoridade competente.</w:t>
      </w:r>
    </w:p>
    <w:p>
      <w:pPr>
        <w:pStyle w:val="Nvel02"/>
        <w:numPr>
          <w:ilvl w:val="1"/>
          <w:numId w:val="4"/>
        </w:numPr>
        <w:ind w:left="0" w:hanging="0"/>
        <w:rPr/>
      </w:pPr>
      <w:r>
        <w:rPr>
          <w:rStyle w:val="Normaltextrun"/>
          <w:rFonts w:ascii="Calibri" w:hAnsi="Calibri"/>
          <w:color w:val="000000"/>
          <w:sz w:val="24"/>
          <w:szCs w:val="24"/>
        </w:rPr>
        <w:t xml:space="preserve">A aplicação das sanções realizar-se-á em processo administrativo que assegure o contraditório e a ampla defesa ao Contratado, observando-se o procedimento previsto no caput e </w:t>
      </w:r>
      <w:r>
        <w:rPr>
          <w:rStyle w:val="Normaltextrun"/>
          <w:rFonts w:ascii="Calibri" w:hAnsi="Calibri"/>
          <w:sz w:val="24"/>
          <w:szCs w:val="24"/>
        </w:rPr>
        <w:t>parágrafos do art. 158 da Lei nº 14.133, de 2021, para as penalidades de impedimento de licitar e contratar e de</w:t>
      </w:r>
      <w:r>
        <w:rPr>
          <w:rStyle w:val="Normaltextrun"/>
          <w:rFonts w:ascii="Calibri" w:hAnsi="Calibri"/>
          <w:color w:val="000000"/>
          <w:sz w:val="24"/>
          <w:szCs w:val="24"/>
        </w:rPr>
        <w:t xml:space="preserve"> declaração de inidoneidade para licitar ou contratar.</w:t>
      </w:r>
    </w:p>
    <w:p>
      <w:pPr>
        <w:pStyle w:val="Nivel3"/>
        <w:numPr>
          <w:ilvl w:val="2"/>
          <w:numId w:val="86"/>
        </w:numPr>
        <w:ind w:left="284" w:hanging="0"/>
        <w:rPr/>
      </w:pPr>
      <w:r>
        <w:rPr>
          <w:rStyle w:val="Normaltextrun"/>
          <w:rFonts w:ascii="Calibri" w:hAnsi="Calibri"/>
          <w:sz w:val="24"/>
          <w:szCs w:val="24"/>
        </w:rPr>
        <w:t>Para a garantia da ampla defesa e contraditório, as notificações serão enviadas eletronicamente para os endereços de e-mail informados na proposta comercial, bem como os cadastrados pela empresa no SICAF.</w:t>
      </w:r>
    </w:p>
    <w:p>
      <w:pPr>
        <w:pStyle w:val="Nivel3"/>
        <w:numPr>
          <w:ilvl w:val="2"/>
          <w:numId w:val="87"/>
        </w:numPr>
        <w:ind w:left="284" w:hanging="0"/>
        <w:rPr/>
      </w:pPr>
      <w:r>
        <w:rPr>
          <w:rStyle w:val="Normaltextrun"/>
          <w:rFonts w:ascii="Calibri" w:hAnsi="Calibri"/>
          <w:sz w:val="24"/>
          <w:szCs w:val="24"/>
        </w:rPr>
        <w:t>Os endereços de e-mail informados na proposta comercial e/ou cadastrados no SICAF serão considerados de uso contínuo da empresa, não cabendo alegação de desconhecimento das comunicações a eles comprovadamente enviadas.</w:t>
      </w:r>
    </w:p>
    <w:p>
      <w:pPr>
        <w:pStyle w:val="Nvel02"/>
        <w:numPr>
          <w:ilvl w:val="1"/>
          <w:numId w:val="4"/>
        </w:numPr>
        <w:ind w:left="0" w:hanging="0"/>
        <w:rPr/>
      </w:pPr>
      <w:r>
        <w:rPr>
          <w:rStyle w:val="Normaltextrun"/>
          <w:rFonts w:ascii="Calibri" w:hAnsi="Calibri"/>
          <w:color w:val="000000"/>
          <w:sz w:val="24"/>
          <w:szCs w:val="24"/>
        </w:rPr>
        <w:t xml:space="preserve">Na aplicação </w:t>
      </w:r>
      <w:r>
        <w:rPr>
          <w:rFonts w:ascii="Calibri" w:hAnsi="Calibri"/>
          <w:sz w:val="24"/>
          <w:szCs w:val="24"/>
        </w:rPr>
        <w:t>das</w:t>
      </w:r>
      <w:r>
        <w:rPr>
          <w:rStyle w:val="Normaltextrun"/>
          <w:rFonts w:ascii="Calibri" w:hAnsi="Calibri"/>
          <w:color w:val="000000"/>
          <w:sz w:val="24"/>
          <w:szCs w:val="24"/>
        </w:rPr>
        <w:t xml:space="preserve"> sanções serão considerados:</w:t>
      </w:r>
    </w:p>
    <w:p>
      <w:pPr>
        <w:pStyle w:val="Nivel3"/>
        <w:numPr>
          <w:ilvl w:val="2"/>
          <w:numId w:val="88"/>
        </w:numPr>
        <w:ind w:left="284" w:hanging="0"/>
        <w:rPr/>
      </w:pPr>
      <w:r>
        <w:rPr>
          <w:rStyle w:val="Normaltextrun"/>
          <w:rFonts w:ascii="Calibri" w:hAnsi="Calibri"/>
          <w:sz w:val="24"/>
          <w:szCs w:val="24"/>
        </w:rPr>
        <w:t>a natureza e a gravidade da infração cometida;</w:t>
      </w:r>
    </w:p>
    <w:p>
      <w:pPr>
        <w:pStyle w:val="Nivel3"/>
        <w:numPr>
          <w:ilvl w:val="2"/>
          <w:numId w:val="89"/>
        </w:numPr>
        <w:ind w:left="284" w:hanging="0"/>
        <w:rPr/>
      </w:pPr>
      <w:r>
        <w:rPr>
          <w:rStyle w:val="Normaltextrun"/>
          <w:rFonts w:ascii="Calibri" w:hAnsi="Calibri"/>
          <w:sz w:val="24"/>
          <w:szCs w:val="24"/>
        </w:rPr>
        <w:t>as peculiaridades do caso concreto;</w:t>
      </w:r>
    </w:p>
    <w:p>
      <w:pPr>
        <w:pStyle w:val="Nivel3"/>
        <w:numPr>
          <w:ilvl w:val="2"/>
          <w:numId w:val="90"/>
        </w:numPr>
        <w:ind w:left="284" w:hanging="0"/>
        <w:rPr/>
      </w:pPr>
      <w:r>
        <w:rPr>
          <w:rStyle w:val="Normaltextrun"/>
          <w:rFonts w:ascii="Calibri" w:hAnsi="Calibri"/>
          <w:sz w:val="24"/>
          <w:szCs w:val="24"/>
        </w:rPr>
        <w:t>as circunstâncias agravantes ou atenuantes;</w:t>
      </w:r>
    </w:p>
    <w:p>
      <w:pPr>
        <w:pStyle w:val="Nivel3"/>
        <w:numPr>
          <w:ilvl w:val="2"/>
          <w:numId w:val="91"/>
        </w:numPr>
        <w:ind w:left="284" w:hanging="0"/>
        <w:rPr/>
      </w:pPr>
      <w:r>
        <w:rPr>
          <w:rFonts w:ascii="Calibri" w:hAnsi="Calibri"/>
          <w:sz w:val="24"/>
          <w:szCs w:val="24"/>
        </w:rPr>
        <w:t>os danos que dela provierem para o Contratante;</w:t>
      </w:r>
      <w:r>
        <w:rPr>
          <w:rStyle w:val="Normaltextrun"/>
          <w:rFonts w:cs="Arial" w:ascii="Calibri" w:hAnsi="Calibri"/>
          <w:sz w:val="24"/>
          <w:szCs w:val="24"/>
        </w:rPr>
        <w:t xml:space="preserve"> </w:t>
      </w:r>
      <w:r>
        <w:rPr>
          <w:rStyle w:val="Normaltextrun"/>
          <w:rFonts w:ascii="Calibri" w:hAnsi="Calibri"/>
          <w:sz w:val="24"/>
          <w:szCs w:val="24"/>
        </w:rPr>
        <w:t>e</w:t>
      </w:r>
    </w:p>
    <w:p>
      <w:pPr>
        <w:pStyle w:val="Nivel3"/>
        <w:numPr>
          <w:ilvl w:val="2"/>
          <w:numId w:val="92"/>
        </w:numPr>
        <w:ind w:left="284" w:hanging="0"/>
        <w:rPr/>
      </w:pPr>
      <w:r>
        <w:rPr>
          <w:rStyle w:val="Normaltextrun"/>
          <w:rFonts w:ascii="Calibri" w:hAnsi="Calibri"/>
          <w:sz w:val="24"/>
          <w:szCs w:val="24"/>
        </w:rPr>
        <w:t>a implantação ou o aperfeiçoamento de programa de integridade, conforme normas e orientações dos órgãos de controle.</w:t>
      </w:r>
    </w:p>
    <w:p>
      <w:pPr>
        <w:pStyle w:val="Nvel02"/>
        <w:numPr>
          <w:ilvl w:val="1"/>
          <w:numId w:val="4"/>
        </w:numPr>
        <w:ind w:left="0" w:hanging="0"/>
        <w:rPr/>
      </w:pPr>
      <w:r>
        <w:rPr>
          <w:rStyle w:val="Normaltextrun"/>
          <w:rFonts w:ascii="Calibri" w:hAnsi="Calibri"/>
          <w:color w:val="000000"/>
          <w:sz w:val="24"/>
          <w:szCs w:val="24"/>
        </w:rPr>
        <w:t xml:space="preserve">Os atos previstos como infrações </w:t>
      </w:r>
      <w:r>
        <w:rPr>
          <w:rStyle w:val="Normaltextrun"/>
          <w:rFonts w:ascii="Calibri" w:hAnsi="Calibri"/>
          <w:sz w:val="24"/>
          <w:szCs w:val="24"/>
        </w:rPr>
        <w:t xml:space="preserve">administrativas na Lei nº 14.133, de 2021, ou em outras leis de licitações e contratos da </w:t>
      </w:r>
      <w:r>
        <w:rPr>
          <w:rFonts w:ascii="Calibri" w:hAnsi="Calibri"/>
          <w:sz w:val="24"/>
          <w:szCs w:val="24"/>
        </w:rPr>
        <w:t>Administração</w:t>
      </w:r>
      <w:r>
        <w:rPr>
          <w:rStyle w:val="Normaltextrun"/>
          <w:rFonts w:ascii="Calibri" w:hAnsi="Calibri"/>
          <w:sz w:val="24"/>
          <w:szCs w:val="24"/>
        </w:rPr>
        <w:t xml:space="preserve"> Pública que também sejam tipificados como atos lesivos na Lei nº 12.846, de 2013, serão apurados e julgados conj</w:t>
      </w:r>
      <w:r>
        <w:rPr>
          <w:rStyle w:val="Normaltextrun"/>
          <w:rFonts w:ascii="Calibri" w:hAnsi="Calibri"/>
          <w:color w:val="000000"/>
          <w:sz w:val="24"/>
          <w:szCs w:val="24"/>
        </w:rPr>
        <w:t xml:space="preserve">untamente, nos mesmos autos, observados o rito procedimental e autoridade competente definidos na </w:t>
      </w:r>
      <w:r>
        <w:rPr>
          <w:rStyle w:val="Normaltextrun"/>
          <w:rFonts w:ascii="Calibri" w:hAnsi="Calibri"/>
          <w:sz w:val="24"/>
          <w:szCs w:val="24"/>
        </w:rPr>
        <w:t>referida Lei.</w:t>
      </w:r>
    </w:p>
    <w:p>
      <w:pPr>
        <w:pStyle w:val="Nvel02"/>
        <w:numPr>
          <w:ilvl w:val="1"/>
          <w:numId w:val="4"/>
        </w:numPr>
        <w:ind w:left="0" w:hanging="0"/>
        <w:rPr/>
      </w:pPr>
      <w:r>
        <w:rPr>
          <w:rStyle w:val="Normaltextrun"/>
          <w:rFonts w:ascii="Calibri" w:hAnsi="Calibri"/>
          <w:color w:val="000000"/>
          <w:sz w:val="24"/>
          <w:szCs w:val="24"/>
        </w:rPr>
        <w:t xml:space="preserve">A personalidade jurídica do Contratado poderá ser desconsiderada sempre que utilizada com abuso do direito para facilitar, encobrir ou dissimular a prática dos atos ilícitos </w:t>
      </w:r>
      <w:bookmarkStart w:id="13" w:name="_Hlk170830482"/>
      <w:r>
        <w:rPr>
          <w:rStyle w:val="Normaltextrun"/>
          <w:rFonts w:ascii="Calibri" w:hAnsi="Calibri"/>
          <w:color w:val="000000"/>
          <w:sz w:val="24"/>
          <w:szCs w:val="24"/>
        </w:rPr>
        <w:t xml:space="preserve">previstos </w:t>
      </w:r>
      <w:r>
        <w:rPr>
          <w:rFonts w:ascii="Calibri" w:hAnsi="Calibri"/>
          <w:sz w:val="24"/>
          <w:szCs w:val="24"/>
        </w:rPr>
        <w:t>neste Termo de Referência</w:t>
      </w:r>
      <w:bookmarkEnd w:id="13"/>
      <w:r>
        <w:rPr>
          <w:rStyle w:val="Normaltextrun"/>
          <w:rFonts w:ascii="Calibri" w:hAnsi="Calibri"/>
          <w:color w:val="000000"/>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pPr>
        <w:pStyle w:val="Nvel02"/>
        <w:numPr>
          <w:ilvl w:val="1"/>
          <w:numId w:val="4"/>
        </w:numPr>
        <w:ind w:left="0" w:hanging="0"/>
        <w:rPr/>
      </w:pPr>
      <w:r>
        <w:rPr>
          <w:rStyle w:val="Normaltextrun"/>
          <w:rFonts w:ascii="Calibri" w:hAnsi="Calibri"/>
          <w:color w:val="000000"/>
          <w:sz w:val="24"/>
          <w:szCs w:val="24"/>
        </w:rPr>
        <w:t xml:space="preserve">O Contratante deverá, no prazo máximo </w:t>
      </w:r>
      <w:r>
        <w:rPr>
          <w:rStyle w:val="Normaltextrun"/>
          <w:rFonts w:ascii="Calibri" w:hAnsi="Calibri"/>
          <w:sz w:val="24"/>
          <w:szCs w:val="24"/>
        </w:rPr>
        <w:t>de</w:t>
      </w:r>
      <w:r>
        <w:rPr>
          <w:rStyle w:val="Normaltextrun"/>
          <w:rFonts w:ascii="Calibri" w:hAnsi="Calibri"/>
          <w:color w:val="000000"/>
          <w:sz w:val="24"/>
          <w:szCs w:val="24"/>
        </w:rPr>
        <w:t xml:space="preserve"> 15 (quinze) dias úteis, contado da data de aplicação da sanção, </w:t>
      </w:r>
      <w:r>
        <w:rPr>
          <w:rFonts w:ascii="Calibri" w:hAnsi="Calibri"/>
          <w:sz w:val="24"/>
          <w:szCs w:val="24"/>
        </w:rPr>
        <w:t>informar</w:t>
      </w:r>
      <w:r>
        <w:rPr>
          <w:rStyle w:val="Normaltextrun"/>
          <w:rFonts w:ascii="Calibri" w:hAnsi="Calibri"/>
          <w:color w:val="000000"/>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pPr>
        <w:pStyle w:val="Nivel3"/>
        <w:numPr>
          <w:ilvl w:val="2"/>
          <w:numId w:val="4"/>
        </w:numPr>
        <w:ind w:left="284" w:hanging="0"/>
        <w:rPr>
          <w:rFonts w:ascii="Calibri" w:hAnsi="Calibri"/>
          <w:sz w:val="24"/>
          <w:szCs w:val="24"/>
        </w:rPr>
      </w:pPr>
      <w:r>
        <w:rPr>
          <w:rFonts w:ascii="Calibri" w:hAnsi="Calibri"/>
          <w:sz w:val="24"/>
          <w:szCs w:val="24"/>
        </w:rPr>
        <w:t>As penalidades serão obrigatoriamente registradas no SICAF.</w:t>
      </w:r>
    </w:p>
    <w:p>
      <w:pPr>
        <w:pStyle w:val="Nvel02"/>
        <w:numPr>
          <w:ilvl w:val="1"/>
          <w:numId w:val="4"/>
        </w:numPr>
        <w:ind w:left="0" w:hanging="0"/>
        <w:rPr/>
      </w:pPr>
      <w:r>
        <w:rPr>
          <w:rStyle w:val="Normaltextrun"/>
          <w:rFonts w:ascii="Calibri" w:hAnsi="Calibri"/>
          <w:sz w:val="24"/>
          <w:szCs w:val="24"/>
        </w:rPr>
        <w:t xml:space="preserve">As sanções de impedimento de licitar e contratar e declaração de inidoneidade para licitar ou contratar são passíveis </w:t>
      </w:r>
      <w:r>
        <w:rPr>
          <w:rFonts w:ascii="Calibri" w:hAnsi="Calibri"/>
          <w:sz w:val="24"/>
          <w:szCs w:val="24"/>
        </w:rPr>
        <w:t>de</w:t>
      </w:r>
      <w:r>
        <w:rPr>
          <w:rStyle w:val="Normaltextrun"/>
          <w:rFonts w:ascii="Calibri" w:hAnsi="Calibri"/>
          <w:sz w:val="24"/>
          <w:szCs w:val="24"/>
        </w:rPr>
        <w:t xml:space="preserve"> reabilitação na forma do art. 163 da Lei nº 14.133, de 2021.</w:t>
      </w:r>
    </w:p>
    <w:p>
      <w:pPr>
        <w:pStyle w:val="Nvel02"/>
        <w:numPr>
          <w:ilvl w:val="1"/>
          <w:numId w:val="4"/>
        </w:numPr>
        <w:ind w:left="0" w:hanging="0"/>
        <w:rPr/>
      </w:pPr>
      <w:r>
        <w:rPr>
          <w:rFonts w:ascii="Calibri" w:hAnsi="Calibri"/>
          <w:sz w:val="24"/>
          <w:szCs w:val="24"/>
        </w:rPr>
        <w:t>Os</w:t>
      </w:r>
      <w:r>
        <w:rPr>
          <w:rStyle w:val="Normaltextrun"/>
          <w:rFonts w:ascii="Calibri" w:hAnsi="Calibri"/>
          <w:color w:val="000000"/>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w:t>
      </w:r>
      <w:r>
        <w:rPr>
          <w:rStyle w:val="Normaltextrun"/>
          <w:rFonts w:ascii="Calibri" w:hAnsi="Calibri"/>
          <w:sz w:val="24"/>
          <w:szCs w:val="24"/>
        </w:rPr>
        <w:t>da Instrução Normativa SEGES/ME nº 26, de 13 de abril de 2022.</w:t>
      </w:r>
    </w:p>
    <w:p>
      <w:pPr>
        <w:pStyle w:val="Nivel01"/>
        <w:numPr>
          <w:ilvl w:val="0"/>
          <w:numId w:val="4"/>
        </w:numPr>
        <w:ind w:left="357" w:hanging="357"/>
        <w:rPr>
          <w:rFonts w:ascii="Calibri" w:hAnsi="Calibri"/>
          <w:sz w:val="24"/>
          <w:szCs w:val="24"/>
        </w:rPr>
      </w:pPr>
      <w:r>
        <w:rPr>
          <w:rFonts w:ascii="Calibri" w:hAnsi="Calibri"/>
          <w:sz w:val="24"/>
          <w:szCs w:val="24"/>
        </w:rPr>
        <w:t>CRITÉRIOS DE MEDIÇÃO E DE PAGAMENTO</w:t>
      </w:r>
    </w:p>
    <w:p>
      <w:pPr>
        <w:pStyle w:val="Nvel1SemNumerao"/>
        <w:ind w:left="357" w:hanging="0"/>
        <w:rPr>
          <w:rFonts w:ascii="Calibri" w:hAnsi="Calibri"/>
          <w:sz w:val="24"/>
          <w:szCs w:val="24"/>
        </w:rPr>
      </w:pPr>
      <w:r>
        <w:rPr>
          <w:rFonts w:ascii="Calibri" w:hAnsi="Calibri"/>
          <w:sz w:val="24"/>
          <w:szCs w:val="24"/>
        </w:rPr>
        <w:t>Recebimento</w:t>
      </w:r>
    </w:p>
    <w:p>
      <w:pPr>
        <w:pStyle w:val="Nvel02"/>
        <w:numPr>
          <w:ilvl w:val="1"/>
          <w:numId w:val="4"/>
        </w:numPr>
        <w:ind w:left="0" w:hanging="0"/>
        <w:rPr>
          <w:rFonts w:ascii="Calibri" w:hAnsi="Calibri"/>
          <w:sz w:val="24"/>
          <w:szCs w:val="24"/>
        </w:rPr>
      </w:pPr>
      <w:commentRangeStart w:id="20"/>
      <w:r>
        <w:rPr>
          <w:rFonts w:ascii="Calibri" w:hAnsi="Calibri"/>
          <w:sz w:val="24"/>
          <w:szCs w:val="24"/>
          <w:lang w:eastAsia="en-US"/>
        </w:rPr>
        <w:t>Os bens serão recebidos provisoriamente, de forma sumária</w:t>
      </w:r>
      <w:r>
        <w:rPr>
          <w:rFonts w:ascii="Calibri" w:hAnsi="Calibri"/>
          <w:sz w:val="24"/>
          <w:szCs w:val="24"/>
          <w:lang w:eastAsia="en-US"/>
        </w:rPr>
      </w:r>
      <w:commentRangeEnd w:id="20"/>
      <w:r>
        <w:commentReference w:id="20"/>
      </w:r>
      <w:r>
        <w:rPr>
          <w:rFonts w:ascii="Calibri" w:hAnsi="Calibri"/>
          <w:sz w:val="24"/>
          <w:szCs w:val="24"/>
          <w:lang w:eastAsia="en-US"/>
        </w:rPr>
        <w:t xml:space="preserve">, no ato da entrega, juntamente com a </w:t>
      </w:r>
      <w:r>
        <w:rPr>
          <w:rFonts w:eastAsia="Calibri" w:ascii="Calibri" w:hAnsi="Calibri"/>
          <w:sz w:val="24"/>
          <w:szCs w:val="24"/>
          <w:lang w:eastAsia="en-US"/>
        </w:rPr>
        <w:t>nota</w:t>
      </w:r>
      <w:r>
        <w:rPr>
          <w:rFonts w:ascii="Calibri" w:hAnsi="Calibri"/>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pPr>
        <w:pStyle w:val="Nvel02"/>
        <w:numPr>
          <w:ilvl w:val="1"/>
          <w:numId w:val="4"/>
        </w:numPr>
        <w:ind w:left="0" w:hanging="0"/>
        <w:rPr>
          <w:rFonts w:ascii="Calibri" w:hAnsi="Calibri"/>
          <w:sz w:val="24"/>
          <w:szCs w:val="24"/>
        </w:rPr>
      </w:pPr>
      <w:r>
        <w:rPr>
          <w:rFonts w:ascii="Calibri" w:hAnsi="Calibri"/>
          <w:sz w:val="24"/>
          <w:szCs w:val="24"/>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Pr>
          <w:rFonts w:eastAsia="Arial" w:cs="Arial" w:ascii="Calibri" w:hAnsi="Calibri"/>
          <w:i w:val="false"/>
          <w:iCs/>
          <w:color w:val="auto"/>
          <w:sz w:val="24"/>
          <w:szCs w:val="24"/>
          <w:lang w:eastAsia="en-US"/>
        </w:rPr>
        <w:t xml:space="preserve">10 (dez) </w:t>
      </w:r>
      <w:r>
        <w:rPr>
          <w:rFonts w:ascii="Calibri" w:hAnsi="Calibri"/>
          <w:sz w:val="24"/>
          <w:szCs w:val="24"/>
          <w:lang w:eastAsia="en-US"/>
        </w:rPr>
        <w:t>dias, a contar da notificação da contratada, às suas custas, sem prejuízo da aplicação das penalidades.</w:t>
      </w:r>
    </w:p>
    <w:p>
      <w:pPr>
        <w:pStyle w:val="Nvel02"/>
        <w:numPr>
          <w:ilvl w:val="1"/>
          <w:numId w:val="4"/>
        </w:numPr>
        <w:ind w:left="0" w:hanging="0"/>
        <w:rPr>
          <w:rFonts w:ascii="Calibri" w:hAnsi="Calibri"/>
          <w:sz w:val="24"/>
          <w:szCs w:val="24"/>
        </w:rPr>
      </w:pPr>
      <w:commentRangeStart w:id="21"/>
      <w:r>
        <w:rPr>
          <w:rFonts w:ascii="Calibri" w:hAnsi="Calibri"/>
          <w:sz w:val="24"/>
          <w:szCs w:val="24"/>
          <w:lang w:eastAsia="en-US"/>
        </w:rPr>
        <w:t xml:space="preserve">O recebimento definitivo ocorrerá no prazo de </w:t>
      </w:r>
      <w:r>
        <w:rPr>
          <w:rFonts w:eastAsia="Arial" w:cs="Arial" w:ascii="Calibri" w:hAnsi="Calibri"/>
          <w:i w:val="false"/>
          <w:iCs/>
          <w:color w:val="auto"/>
          <w:sz w:val="24"/>
          <w:szCs w:val="24"/>
          <w:lang w:eastAsia="en-US"/>
        </w:rPr>
        <w:t>10 (dez)</w:t>
      </w:r>
      <w:r>
        <w:rPr>
          <w:rFonts w:ascii="Calibri" w:hAnsi="Calibri"/>
          <w:sz w:val="24"/>
          <w:szCs w:val="24"/>
          <w:lang w:eastAsia="en-US"/>
        </w:rPr>
        <w:t xml:space="preserve"> dias úteis, a contar do recebimento da nota fiscal ou instrumento de cobrança equivalente pela Administração, após a verificação da qualidade e quantidade do material e consequente aceitação mediante termo detalhado.</w:t>
      </w:r>
      <w:commentRangeEnd w:id="21"/>
      <w:r>
        <w:commentReference w:id="21"/>
      </w:r>
      <w:r>
        <w:rPr>
          <w:rFonts w:ascii="Calibri" w:hAnsi="Calibri"/>
          <w:sz w:val="24"/>
          <w:szCs w:val="24"/>
          <w:lang w:eastAsia="en-US"/>
        </w:rPr>
      </w:r>
    </w:p>
    <w:p>
      <w:pPr>
        <w:pStyle w:val="Nvel02"/>
        <w:numPr>
          <w:ilvl w:val="1"/>
          <w:numId w:val="4"/>
        </w:numPr>
        <w:ind w:left="0" w:hanging="0"/>
        <w:rPr>
          <w:rFonts w:ascii="Calibri" w:hAnsi="Calibri"/>
          <w:sz w:val="24"/>
          <w:szCs w:val="24"/>
        </w:rPr>
      </w:pPr>
      <w:commentRangeStart w:id="22"/>
      <w:r>
        <w:rPr>
          <w:rFonts w:ascii="Calibri" w:hAnsi="Calibri"/>
          <w:sz w:val="24"/>
          <w:szCs w:val="24"/>
          <w:lang w:eastAsia="en-US"/>
        </w:rPr>
        <w:t>Para as contratações decorrentes de despesas cujos valores não ultrapassem o limite de que trata o inciso II do art. 75 da Lei nº 14.133, de 2021, o prazo máximo para o recebimento definitivo será de a</w:t>
      </w:r>
      <w:r>
        <w:rPr>
          <w:rFonts w:ascii="Calibri" w:hAnsi="Calibri"/>
          <w:color w:val="auto"/>
          <w:sz w:val="24"/>
          <w:szCs w:val="24"/>
          <w:lang w:eastAsia="en-US"/>
        </w:rPr>
        <w:t xml:space="preserve">té </w:t>
      </w:r>
      <w:r>
        <w:rPr>
          <w:rFonts w:eastAsia="Arial" w:cs="Arial" w:ascii="Calibri" w:hAnsi="Calibri"/>
          <w:i w:val="false"/>
          <w:iCs/>
          <w:color w:val="auto"/>
          <w:sz w:val="24"/>
          <w:szCs w:val="24"/>
          <w:lang w:eastAsia="en-US"/>
        </w:rPr>
        <w:t>05 (cinco)</w:t>
      </w:r>
      <w:r>
        <w:rPr>
          <w:rFonts w:ascii="Calibri" w:hAnsi="Calibri"/>
          <w:color w:val="auto"/>
          <w:sz w:val="24"/>
          <w:szCs w:val="24"/>
          <w:lang w:eastAsia="en-US"/>
        </w:rPr>
        <w:t xml:space="preserve"> dias</w:t>
      </w:r>
      <w:r>
        <w:rPr>
          <w:rFonts w:ascii="Calibri" w:hAnsi="Calibri"/>
          <w:sz w:val="24"/>
          <w:szCs w:val="24"/>
          <w:lang w:eastAsia="en-US"/>
        </w:rPr>
        <w:t xml:space="preserve"> úteis.</w:t>
      </w:r>
      <w:commentRangeEnd w:id="22"/>
      <w:r>
        <w:commentReference w:id="22"/>
      </w:r>
      <w:r>
        <w:rPr>
          <w:rFonts w:ascii="Calibri" w:hAnsi="Calibri"/>
          <w:sz w:val="24"/>
          <w:szCs w:val="24"/>
          <w:lang w:eastAsia="en-US"/>
        </w:rPr>
      </w:r>
    </w:p>
    <w:p>
      <w:pPr>
        <w:pStyle w:val="Nvel02"/>
        <w:numPr>
          <w:ilvl w:val="1"/>
          <w:numId w:val="4"/>
        </w:numPr>
        <w:ind w:left="0" w:hanging="0"/>
        <w:rPr>
          <w:rFonts w:ascii="Calibri" w:hAnsi="Calibri"/>
          <w:sz w:val="24"/>
          <w:szCs w:val="24"/>
        </w:rPr>
      </w:pPr>
      <w:r>
        <w:rPr>
          <w:rFonts w:ascii="Calibri" w:hAnsi="Calibri"/>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pPr>
        <w:pStyle w:val="Nvel02"/>
        <w:numPr>
          <w:ilvl w:val="1"/>
          <w:numId w:val="4"/>
        </w:numPr>
        <w:ind w:left="0" w:hanging="0"/>
        <w:rPr>
          <w:rFonts w:ascii="Calibri" w:hAnsi="Calibri"/>
          <w:sz w:val="24"/>
          <w:szCs w:val="24"/>
        </w:rPr>
      </w:pPr>
      <w:r>
        <w:rPr>
          <w:rFonts w:ascii="Calibri" w:hAnsi="Calibri"/>
          <w:sz w:val="24"/>
          <w:szCs w:val="24"/>
          <w:lang w:eastAsia="en-US"/>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pPr>
        <w:pStyle w:val="Nvel02"/>
        <w:numPr>
          <w:ilvl w:val="1"/>
          <w:numId w:val="4"/>
        </w:numPr>
        <w:ind w:left="0" w:hanging="0"/>
        <w:rPr>
          <w:rFonts w:ascii="Calibri" w:hAnsi="Calibri"/>
          <w:sz w:val="24"/>
          <w:szCs w:val="24"/>
        </w:rPr>
      </w:pPr>
      <w:r>
        <w:rPr>
          <w:rFonts w:ascii="Calibri" w:hAnsi="Calibri"/>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pPr>
        <w:pStyle w:val="Nvel02"/>
        <w:numPr>
          <w:ilvl w:val="1"/>
          <w:numId w:val="4"/>
        </w:numPr>
        <w:ind w:left="0" w:hanging="0"/>
        <w:rPr>
          <w:rFonts w:ascii="Calibri" w:hAnsi="Calibri"/>
          <w:sz w:val="24"/>
          <w:szCs w:val="24"/>
        </w:rPr>
      </w:pPr>
      <w:r>
        <w:rPr>
          <w:rFonts w:ascii="Calibri" w:hAnsi="Calibri"/>
          <w:sz w:val="24"/>
          <w:szCs w:val="24"/>
          <w:lang w:eastAsia="en-US"/>
        </w:rPr>
        <w:t>O recebimento provisório ou definitivo não excluirá a responsabilidade civil pela solidez e pela segurança dos bens nem a responsabilidade ético-profissional pela perfeita execução do contrato.</w:t>
      </w:r>
    </w:p>
    <w:p>
      <w:pPr>
        <w:pStyle w:val="Nvel02"/>
        <w:numPr>
          <w:ilvl w:val="1"/>
          <w:numId w:val="4"/>
        </w:numPr>
        <w:ind w:left="0" w:hanging="0"/>
        <w:rPr>
          <w:rFonts w:ascii="Calibri" w:hAnsi="Calibri"/>
          <w:sz w:val="24"/>
          <w:szCs w:val="24"/>
        </w:rPr>
      </w:pPr>
      <w:r>
        <w:rPr>
          <w:rFonts w:ascii="Calibri" w:hAnsi="Calibri"/>
          <w:sz w:val="24"/>
          <w:szCs w:val="24"/>
        </w:rPr>
        <w:t>As atividades de montagem, instalação e quaisquer outras necessárias para o funcionamento ou uso do bem correrão por conta do Contratado e são condição para o recebimento do objeto.</w:t>
      </w:r>
    </w:p>
    <w:p>
      <w:pPr>
        <w:pStyle w:val="Nvel1SemNumerao"/>
        <w:ind w:left="357" w:hanging="0"/>
        <w:rPr>
          <w:rFonts w:ascii="Calibri" w:hAnsi="Calibri"/>
          <w:sz w:val="24"/>
          <w:szCs w:val="24"/>
        </w:rPr>
      </w:pPr>
      <w:r>
        <w:rPr>
          <w:rFonts w:ascii="Calibri" w:hAnsi="Calibri"/>
          <w:sz w:val="24"/>
          <w:szCs w:val="24"/>
        </w:rPr>
        <w:t>Liquidação</w:t>
      </w:r>
    </w:p>
    <w:p>
      <w:pPr>
        <w:pStyle w:val="Nvel02"/>
        <w:numPr>
          <w:ilvl w:val="1"/>
          <w:numId w:val="4"/>
        </w:numPr>
        <w:ind w:left="0" w:hanging="0"/>
        <w:rPr>
          <w:rFonts w:ascii="Calibri" w:hAnsi="Calibri"/>
          <w:sz w:val="24"/>
          <w:szCs w:val="24"/>
        </w:rPr>
      </w:pPr>
      <w:r>
        <w:rPr>
          <w:rFonts w:ascii="Calibri" w:hAnsi="Calibri"/>
          <w:sz w:val="24"/>
          <w:szCs w:val="24"/>
        </w:rPr>
        <w:t>Recebida a Nota Fiscal ou documento de cobrança equivalente, correrá o prazo de dez dias úteis para fins de liquidação, na forma desta seção, prorrogáveis por igual período, nos termos do art. 7º, §3º da Instrução Normativa SEGES/ME nº 77/2022.</w:t>
      </w:r>
    </w:p>
    <w:p>
      <w:pPr>
        <w:pStyle w:val="Nvel02"/>
        <w:numPr>
          <w:ilvl w:val="1"/>
          <w:numId w:val="4"/>
        </w:numPr>
        <w:ind w:left="0" w:hanging="0"/>
        <w:rPr>
          <w:rFonts w:ascii="Calibri" w:hAnsi="Calibri"/>
          <w:sz w:val="24"/>
          <w:szCs w:val="24"/>
        </w:rPr>
      </w:pPr>
      <w:r>
        <w:rPr>
          <w:rFonts w:ascii="Calibri" w:hAnsi="Calibri"/>
          <w:sz w:val="24"/>
          <w:szCs w:val="24"/>
        </w:rPr>
        <w:t>O prazo de que trata o item anterior será reduzido à metade, mantendo-se a possibilidade de prorrogação, no caso de contratações decorrentes de despesas cujos valores não ultrapassem o limite de que trata o inciso II do art. 75 da Lei nº 14.133, de 2021.</w:t>
      </w:r>
    </w:p>
    <w:p>
      <w:pPr>
        <w:pStyle w:val="Nvel02"/>
        <w:numPr>
          <w:ilvl w:val="1"/>
          <w:numId w:val="4"/>
        </w:numPr>
        <w:ind w:left="0" w:hanging="0"/>
        <w:rPr>
          <w:rFonts w:ascii="Calibri" w:hAnsi="Calibri"/>
          <w:sz w:val="24"/>
          <w:szCs w:val="24"/>
        </w:rPr>
      </w:pPr>
      <w:r>
        <w:rPr>
          <w:rFonts w:ascii="Calibri" w:hAnsi="Calibri"/>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pPr>
        <w:pStyle w:val="Nivel3"/>
        <w:numPr>
          <w:ilvl w:val="2"/>
          <w:numId w:val="93"/>
        </w:numPr>
        <w:ind w:left="284" w:hanging="0"/>
        <w:rPr>
          <w:rFonts w:ascii="Calibri" w:hAnsi="Calibri"/>
          <w:sz w:val="24"/>
          <w:szCs w:val="24"/>
        </w:rPr>
      </w:pPr>
      <w:r>
        <w:rPr>
          <w:rFonts w:ascii="Calibri" w:hAnsi="Calibri"/>
          <w:sz w:val="24"/>
          <w:szCs w:val="24"/>
        </w:rPr>
        <w:t>o prazo de validade;</w:t>
      </w:r>
    </w:p>
    <w:p>
      <w:pPr>
        <w:pStyle w:val="Nivel3"/>
        <w:numPr>
          <w:ilvl w:val="2"/>
          <w:numId w:val="94"/>
        </w:numPr>
        <w:ind w:left="284" w:hanging="0"/>
        <w:rPr>
          <w:rFonts w:ascii="Calibri" w:hAnsi="Calibri"/>
          <w:sz w:val="24"/>
          <w:szCs w:val="24"/>
        </w:rPr>
      </w:pPr>
      <w:r>
        <w:rPr>
          <w:rFonts w:ascii="Calibri" w:hAnsi="Calibri"/>
          <w:sz w:val="24"/>
          <w:szCs w:val="24"/>
        </w:rPr>
        <w:t xml:space="preserve">a data da emissão; </w:t>
      </w:r>
    </w:p>
    <w:p>
      <w:pPr>
        <w:pStyle w:val="Nivel3"/>
        <w:numPr>
          <w:ilvl w:val="2"/>
          <w:numId w:val="95"/>
        </w:numPr>
        <w:ind w:left="284" w:hanging="0"/>
        <w:rPr>
          <w:rFonts w:ascii="Calibri" w:hAnsi="Calibri"/>
          <w:sz w:val="24"/>
          <w:szCs w:val="24"/>
        </w:rPr>
      </w:pPr>
      <w:r>
        <w:rPr>
          <w:rFonts w:ascii="Calibri" w:hAnsi="Calibri"/>
          <w:sz w:val="24"/>
          <w:szCs w:val="24"/>
        </w:rPr>
        <w:t xml:space="preserve">os dados do contrato e do órgão contratante; </w:t>
      </w:r>
    </w:p>
    <w:p>
      <w:pPr>
        <w:pStyle w:val="Nivel3"/>
        <w:numPr>
          <w:ilvl w:val="2"/>
          <w:numId w:val="96"/>
        </w:numPr>
        <w:ind w:left="284" w:hanging="0"/>
        <w:rPr>
          <w:rFonts w:ascii="Calibri" w:hAnsi="Calibri"/>
          <w:sz w:val="24"/>
          <w:szCs w:val="24"/>
        </w:rPr>
      </w:pPr>
      <w:r>
        <w:rPr>
          <w:rFonts w:ascii="Calibri" w:hAnsi="Calibri"/>
          <w:sz w:val="24"/>
          <w:szCs w:val="24"/>
        </w:rPr>
        <w:t xml:space="preserve">o período respectivo de execução do contrato; </w:t>
      </w:r>
    </w:p>
    <w:p>
      <w:pPr>
        <w:pStyle w:val="Nivel3"/>
        <w:numPr>
          <w:ilvl w:val="2"/>
          <w:numId w:val="97"/>
        </w:numPr>
        <w:ind w:left="284" w:hanging="0"/>
        <w:rPr>
          <w:rFonts w:ascii="Calibri" w:hAnsi="Calibri"/>
          <w:sz w:val="24"/>
          <w:szCs w:val="24"/>
        </w:rPr>
      </w:pPr>
      <w:r>
        <w:rPr>
          <w:rFonts w:ascii="Calibri" w:hAnsi="Calibri"/>
          <w:sz w:val="24"/>
          <w:szCs w:val="24"/>
        </w:rPr>
        <w:t xml:space="preserve">o valor a pagar; e </w:t>
      </w:r>
    </w:p>
    <w:p>
      <w:pPr>
        <w:pStyle w:val="Nivel3"/>
        <w:numPr>
          <w:ilvl w:val="2"/>
          <w:numId w:val="98"/>
        </w:numPr>
        <w:ind w:left="284" w:hanging="0"/>
        <w:rPr>
          <w:rFonts w:ascii="Calibri" w:hAnsi="Calibri"/>
          <w:sz w:val="24"/>
          <w:szCs w:val="24"/>
        </w:rPr>
      </w:pPr>
      <w:r>
        <w:rPr>
          <w:rFonts w:ascii="Calibri" w:hAnsi="Calibri"/>
          <w:sz w:val="24"/>
          <w:szCs w:val="24"/>
        </w:rPr>
        <w:t>eventual destaque do valor de retenções tributárias cabíveis.</w:t>
      </w:r>
    </w:p>
    <w:p>
      <w:pPr>
        <w:pStyle w:val="Nvel02"/>
        <w:numPr>
          <w:ilvl w:val="1"/>
          <w:numId w:val="4"/>
        </w:numPr>
        <w:ind w:left="0" w:hanging="0"/>
        <w:rPr>
          <w:rFonts w:ascii="Calibri" w:hAnsi="Calibri"/>
          <w:sz w:val="24"/>
          <w:szCs w:val="24"/>
        </w:rPr>
      </w:pPr>
      <w:r>
        <w:rPr>
          <w:rFonts w:ascii="Calibri" w:hAnsi="Calibri"/>
          <w:sz w:val="24"/>
          <w:szCs w:val="24"/>
        </w:rPr>
        <w:t xml:space="preserve"> </w:t>
      </w:r>
      <w:r>
        <w:rPr>
          <w:rFonts w:ascii="Calibri" w:hAnsi="Calibri"/>
          <w:sz w:val="24"/>
          <w:szCs w:val="24"/>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vel02"/>
        <w:numPr>
          <w:ilvl w:val="1"/>
          <w:numId w:val="4"/>
        </w:numPr>
        <w:ind w:left="0" w:hanging="0"/>
        <w:rPr>
          <w:rFonts w:ascii="Calibri" w:hAnsi="Calibri"/>
          <w:sz w:val="24"/>
          <w:szCs w:val="24"/>
        </w:rPr>
      </w:pPr>
      <w:r>
        <w:rPr>
          <w:rFonts w:ascii="Calibri" w:hAnsi="Calibri"/>
          <w:sz w:val="24"/>
          <w:szCs w:val="24"/>
        </w:rPr>
        <w:t xml:space="preserve"> </w:t>
      </w:r>
      <w:r>
        <w:rPr>
          <w:rFonts w:ascii="Calibri" w:hAnsi="Calibri"/>
          <w:sz w:val="24"/>
          <w:szCs w:val="24"/>
        </w:rPr>
        <w:t>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w:t>
      </w:r>
    </w:p>
    <w:p>
      <w:pPr>
        <w:pStyle w:val="Nvel02"/>
        <w:numPr>
          <w:ilvl w:val="1"/>
          <w:numId w:val="4"/>
        </w:numPr>
        <w:ind w:left="0" w:hanging="0"/>
        <w:rPr>
          <w:rFonts w:ascii="Calibri" w:hAnsi="Calibri"/>
          <w:sz w:val="24"/>
          <w:szCs w:val="24"/>
        </w:rPr>
      </w:pPr>
      <w:r>
        <w:rPr>
          <w:rFonts w:ascii="Calibri" w:hAnsi="Calibri"/>
          <w:sz w:val="24"/>
          <w:szCs w:val="24"/>
        </w:rPr>
        <w:t>A Administração deverá realizar consulta ao SICAF para:</w:t>
      </w:r>
    </w:p>
    <w:p>
      <w:pPr>
        <w:pStyle w:val="Nivel3"/>
        <w:numPr>
          <w:ilvl w:val="2"/>
          <w:numId w:val="99"/>
        </w:numPr>
        <w:ind w:left="284" w:hanging="0"/>
        <w:rPr>
          <w:rFonts w:ascii="Calibri" w:hAnsi="Calibri"/>
          <w:sz w:val="24"/>
          <w:szCs w:val="24"/>
        </w:rPr>
      </w:pPr>
      <w:r>
        <w:rPr>
          <w:rFonts w:ascii="Calibri" w:hAnsi="Calibri"/>
          <w:sz w:val="24"/>
          <w:szCs w:val="24"/>
        </w:rPr>
        <w:t>verificar a manutenção das condições de habilitação exigidas;</w:t>
      </w:r>
    </w:p>
    <w:p>
      <w:pPr>
        <w:pStyle w:val="Nivel3"/>
        <w:numPr>
          <w:ilvl w:val="2"/>
          <w:numId w:val="100"/>
        </w:numPr>
        <w:ind w:left="284" w:hanging="0"/>
        <w:rPr>
          <w:rFonts w:ascii="Calibri" w:hAnsi="Calibri"/>
          <w:sz w:val="24"/>
          <w:szCs w:val="24"/>
        </w:rPr>
      </w:pPr>
      <w:r>
        <w:rPr>
          <w:rFonts w:ascii="Calibri" w:hAnsi="Calibri"/>
          <w:sz w:val="24"/>
          <w:szCs w:val="24"/>
        </w:rPr>
        <w:t>identificar possível razão que impeça a participação em licitação/contratação no âmbito do órgão ou entidade, tais como a proibição de contratar com a Administração ou com o Poder Público, bem como ocorrências impeditivas indiretas.</w:t>
      </w:r>
    </w:p>
    <w:p>
      <w:pPr>
        <w:pStyle w:val="Nvel02"/>
        <w:numPr>
          <w:ilvl w:val="1"/>
          <w:numId w:val="4"/>
        </w:numPr>
        <w:ind w:left="0" w:hanging="0"/>
        <w:rPr>
          <w:rFonts w:ascii="Calibri" w:hAnsi="Calibri"/>
          <w:sz w:val="24"/>
          <w:szCs w:val="24"/>
        </w:rPr>
      </w:pPr>
      <w:r>
        <w:rPr>
          <w:rFonts w:ascii="Calibri" w:hAnsi="Calibri"/>
          <w:sz w:val="24"/>
          <w:szCs w:val="24"/>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pPr>
        <w:pStyle w:val="Nvel02"/>
        <w:numPr>
          <w:ilvl w:val="1"/>
          <w:numId w:val="4"/>
        </w:numPr>
        <w:ind w:left="0" w:hanging="0"/>
        <w:rPr>
          <w:rFonts w:ascii="Calibri" w:hAnsi="Calibri"/>
          <w:sz w:val="24"/>
          <w:szCs w:val="24"/>
        </w:rPr>
      </w:pPr>
      <w:r>
        <w:rPr>
          <w:rFonts w:ascii="Calibri" w:hAnsi="Calibri"/>
          <w:sz w:val="24"/>
          <w:szCs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pPr>
        <w:pStyle w:val="Nvel02"/>
        <w:numPr>
          <w:ilvl w:val="1"/>
          <w:numId w:val="4"/>
        </w:numPr>
        <w:ind w:left="0" w:hanging="0"/>
        <w:rPr>
          <w:rFonts w:ascii="Calibri" w:hAnsi="Calibri"/>
          <w:sz w:val="24"/>
          <w:szCs w:val="24"/>
        </w:rPr>
      </w:pPr>
      <w:r>
        <w:rPr>
          <w:rFonts w:ascii="Calibri" w:hAnsi="Calibri"/>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pPr>
        <w:pStyle w:val="Nvel02"/>
        <w:numPr>
          <w:ilvl w:val="1"/>
          <w:numId w:val="4"/>
        </w:numPr>
        <w:ind w:left="0" w:hanging="0"/>
        <w:rPr>
          <w:rFonts w:ascii="Calibri" w:hAnsi="Calibri"/>
          <w:sz w:val="24"/>
          <w:szCs w:val="24"/>
        </w:rPr>
      </w:pPr>
      <w:r>
        <w:rPr>
          <w:rFonts w:ascii="Calibri" w:hAnsi="Calibri"/>
          <w:sz w:val="24"/>
          <w:szCs w:val="24"/>
        </w:rPr>
        <w:t>Havendo a efetiva execução do objeto, os pagamentos serão realizados normalmente, até que se decida pela rescisão do contrato, caso o Contratado não regularize sua situação junto ao SICAF.</w:t>
      </w:r>
    </w:p>
    <w:p>
      <w:pPr>
        <w:pStyle w:val="Nvel1SemNumerao"/>
        <w:ind w:left="357" w:hanging="0"/>
        <w:rPr>
          <w:rFonts w:ascii="Calibri" w:hAnsi="Calibri"/>
          <w:sz w:val="24"/>
          <w:szCs w:val="24"/>
        </w:rPr>
      </w:pPr>
      <w:r>
        <w:rPr>
          <w:rFonts w:ascii="Calibri" w:hAnsi="Calibri"/>
          <w:sz w:val="24"/>
          <w:szCs w:val="24"/>
        </w:rPr>
        <w:t>Prazo de pagamento</w:t>
      </w:r>
    </w:p>
    <w:p>
      <w:pPr>
        <w:pStyle w:val="Nvel02"/>
        <w:numPr>
          <w:ilvl w:val="1"/>
          <w:numId w:val="4"/>
        </w:numPr>
        <w:ind w:left="0" w:hanging="0"/>
        <w:rPr>
          <w:rFonts w:ascii="Calibri" w:hAnsi="Calibri"/>
          <w:sz w:val="24"/>
          <w:szCs w:val="24"/>
        </w:rPr>
      </w:pPr>
      <w:r>
        <w:rPr>
          <w:rFonts w:ascii="Calibri" w:hAnsi="Calibri"/>
          <w:sz w:val="24"/>
          <w:szCs w:val="24"/>
        </w:rPr>
        <w:t>O pagamento será efetuado no prazo de até 10 (dez) dias úteis contados da finalização da liquidação da despesa, conforme seção anterior, nos termos da Instrução Normativa SEGES/ME nº 77, de 2022.</w:t>
      </w:r>
    </w:p>
    <w:p>
      <w:pPr>
        <w:pStyle w:val="Nvel02"/>
        <w:numPr>
          <w:ilvl w:val="1"/>
          <w:numId w:val="4"/>
        </w:numPr>
        <w:ind w:left="0" w:hanging="0"/>
        <w:rPr>
          <w:rFonts w:ascii="Calibri" w:hAnsi="Calibri"/>
          <w:sz w:val="24"/>
          <w:szCs w:val="24"/>
        </w:rPr>
      </w:pPr>
      <w:commentRangeStart w:id="23"/>
      <w:r>
        <w:rPr>
          <w:rFonts w:ascii="Calibri" w:hAnsi="Calibri"/>
          <w:sz w:val="24"/>
          <w:szCs w:val="24"/>
          <w:lang w:eastAsia="en-US"/>
        </w:rPr>
        <w:t xml:space="preserve">No caso de atraso pelo Contratante, os valores devidos ao Contratado serão atualizados monetariamente entre o termo final do prazo de pagamento até a data de sua efetiva realização, mediante aplicação do </w:t>
      </w:r>
      <w:r>
        <w:rPr>
          <w:rFonts w:eastAsia="Arial" w:cs="Arial" w:ascii="Carlito" w:hAnsi="Carlito"/>
          <w:i w:val="false"/>
          <w:iCs w:val="false"/>
          <w:color w:val="auto"/>
          <w:sz w:val="24"/>
          <w:szCs w:val="24"/>
          <w:lang w:eastAsia="en-US"/>
        </w:rPr>
        <w:t>Í</w:t>
      </w:r>
      <w:r>
        <w:rPr>
          <w:rFonts w:ascii="Carlito" w:hAnsi="Carlito"/>
          <w:i w:val="false"/>
          <w:iCs w:val="false"/>
          <w:color w:val="auto"/>
          <w:sz w:val="24"/>
          <w:szCs w:val="24"/>
          <w:lang w:eastAsia="en-US"/>
        </w:rPr>
        <w:t xml:space="preserve">ndice de preço ao consumidor amplo (IPCA) </w:t>
      </w:r>
      <w:r>
        <w:rPr>
          <w:rFonts w:ascii="Calibri" w:hAnsi="Calibri"/>
          <w:sz w:val="24"/>
          <w:szCs w:val="24"/>
          <w:lang w:eastAsia="en-US"/>
        </w:rPr>
        <w:t>de correção monetária.</w:t>
      </w:r>
      <w:commentRangeEnd w:id="23"/>
      <w:r>
        <w:commentReference w:id="23"/>
      </w:r>
      <w:r>
        <w:rPr>
          <w:rFonts w:ascii="Calibri" w:hAnsi="Calibri"/>
          <w:sz w:val="24"/>
          <w:szCs w:val="24"/>
          <w:lang w:eastAsia="en-US"/>
        </w:rPr>
      </w:r>
    </w:p>
    <w:p>
      <w:pPr>
        <w:pStyle w:val="Nvel1SemNumerao"/>
        <w:ind w:left="357" w:hanging="0"/>
        <w:rPr>
          <w:rFonts w:ascii="Calibri" w:hAnsi="Calibri"/>
          <w:sz w:val="24"/>
          <w:szCs w:val="24"/>
        </w:rPr>
      </w:pPr>
      <w:r>
        <w:rPr>
          <w:rFonts w:ascii="Calibri" w:hAnsi="Calibri"/>
          <w:sz w:val="24"/>
          <w:szCs w:val="24"/>
        </w:rPr>
        <w:t>Forma de pagamento</w:t>
      </w:r>
    </w:p>
    <w:p>
      <w:pPr>
        <w:pStyle w:val="Nvel02"/>
        <w:numPr>
          <w:ilvl w:val="1"/>
          <w:numId w:val="4"/>
        </w:numPr>
        <w:ind w:left="0" w:hanging="0"/>
        <w:rPr>
          <w:rFonts w:ascii="Calibri" w:hAnsi="Calibri"/>
          <w:sz w:val="24"/>
          <w:szCs w:val="24"/>
        </w:rPr>
      </w:pPr>
      <w:r>
        <w:rPr>
          <w:rFonts w:ascii="Calibri" w:hAnsi="Calibri"/>
          <w:sz w:val="24"/>
          <w:szCs w:val="24"/>
        </w:rPr>
        <w:t>O pagamento será realizado por meio de ordem bancária, para crédito em banco, agência e conta corrente indicados pelo Contratado.</w:t>
      </w:r>
    </w:p>
    <w:p>
      <w:pPr>
        <w:pStyle w:val="Nvel02"/>
        <w:numPr>
          <w:ilvl w:val="1"/>
          <w:numId w:val="4"/>
        </w:numPr>
        <w:ind w:left="0" w:hanging="0"/>
        <w:rPr>
          <w:rFonts w:ascii="Calibri" w:hAnsi="Calibri"/>
          <w:sz w:val="24"/>
          <w:szCs w:val="24"/>
        </w:rPr>
      </w:pPr>
      <w:r>
        <w:rPr>
          <w:rFonts w:ascii="Calibri" w:hAnsi="Calibri"/>
          <w:sz w:val="24"/>
          <w:szCs w:val="24"/>
        </w:rPr>
        <w:t>Será considerada data do pagamento o dia em que constar como emitida a ordem bancária para pagamento.</w:t>
      </w:r>
    </w:p>
    <w:p>
      <w:pPr>
        <w:pStyle w:val="Nvel02"/>
        <w:numPr>
          <w:ilvl w:val="1"/>
          <w:numId w:val="4"/>
        </w:numPr>
        <w:ind w:left="0" w:hanging="0"/>
        <w:rPr>
          <w:rFonts w:ascii="Calibri" w:hAnsi="Calibri"/>
          <w:sz w:val="24"/>
          <w:szCs w:val="24"/>
        </w:rPr>
      </w:pPr>
      <w:commentRangeStart w:id="24"/>
      <w:r>
        <w:rPr>
          <w:rFonts w:ascii="Calibri" w:hAnsi="Calibri"/>
          <w:sz w:val="24"/>
          <w:szCs w:val="24"/>
          <w:lang w:eastAsia="en-US"/>
        </w:rPr>
        <w:t>Quando do pagamento, será efetuada a retenção tributária prevista na legislação aplicável.</w:t>
      </w:r>
    </w:p>
    <w:p>
      <w:pPr>
        <w:pStyle w:val="Nvel02"/>
        <w:numPr>
          <w:ilvl w:val="1"/>
          <w:numId w:val="4"/>
        </w:numPr>
        <w:ind w:left="0" w:hanging="0"/>
        <w:rPr>
          <w:rFonts w:ascii="Calibri" w:hAnsi="Calibri"/>
          <w:sz w:val="24"/>
          <w:szCs w:val="24"/>
        </w:rPr>
      </w:pPr>
      <w:r>
        <w:rPr>
          <w:rFonts w:ascii="Calibri" w:hAnsi="Calibri"/>
          <w:sz w:val="24"/>
          <w:szCs w:val="24"/>
        </w:rPr>
        <w:t>Independentemente</w:t>
      </w:r>
      <w:r>
        <w:rPr>
          <w:rFonts w:ascii="Calibri" w:hAnsi="Calibri"/>
          <w:sz w:val="24"/>
          <w:szCs w:val="24"/>
          <w:lang w:eastAsia="en-US"/>
        </w:rPr>
        <w:t xml:space="preserve"> do percentual de tributo inserido na planilha, quando houver, serão retidos na fonte, quando da realização do pagamento, os percentuais estabelecidos na legislação vigente.</w:t>
      </w:r>
      <w:commentRangeEnd w:id="24"/>
      <w:r>
        <w:commentReference w:id="24"/>
      </w:r>
      <w:r>
        <w:rPr>
          <w:rFonts w:ascii="Calibri" w:hAnsi="Calibri"/>
          <w:sz w:val="24"/>
          <w:szCs w:val="24"/>
          <w:lang w:eastAsia="en-US"/>
        </w:rPr>
      </w:r>
    </w:p>
    <w:p>
      <w:pPr>
        <w:pStyle w:val="Nvel02"/>
        <w:numPr>
          <w:ilvl w:val="1"/>
          <w:numId w:val="4"/>
        </w:numPr>
        <w:ind w:left="0" w:hanging="0"/>
        <w:rPr>
          <w:rFonts w:ascii="Calibri" w:hAnsi="Calibri"/>
          <w:sz w:val="24"/>
          <w:szCs w:val="24"/>
        </w:rPr>
      </w:pPr>
      <w:r>
        <w:rPr>
          <w:rFonts w:ascii="Calibri" w:hAnsi="Calibri"/>
          <w:sz w:val="24"/>
          <w:szCs w:val="24"/>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vel1SemNumerao"/>
        <w:ind w:left="357" w:hanging="0"/>
        <w:rPr>
          <w:rFonts w:ascii="Calibri" w:hAnsi="Calibri"/>
          <w:sz w:val="24"/>
          <w:szCs w:val="24"/>
        </w:rPr>
      </w:pPr>
      <w:commentRangeStart w:id="25"/>
      <w:r>
        <w:rPr>
          <w:rFonts w:ascii="Calibri" w:hAnsi="Calibri"/>
          <w:sz w:val="24"/>
          <w:szCs w:val="24"/>
          <w:lang w:eastAsia="en-US"/>
        </w:rPr>
        <w:t>Cessão de Crédito</w:t>
      </w:r>
      <w:commentRangeEnd w:id="25"/>
      <w:r>
        <w:commentReference w:id="25"/>
      </w:r>
      <w:r>
        <w:rPr>
          <w:rFonts w:ascii="Calibri" w:hAnsi="Calibri"/>
          <w:sz w:val="24"/>
          <w:szCs w:val="24"/>
          <w:lang w:eastAsia="en-US"/>
        </w:rPr>
      </w:r>
    </w:p>
    <w:p>
      <w:pPr>
        <w:pStyle w:val="Nvel02"/>
        <w:numPr>
          <w:ilvl w:val="1"/>
          <w:numId w:val="4"/>
        </w:numPr>
        <w:ind w:left="0" w:hanging="0"/>
        <w:rPr>
          <w:rFonts w:ascii="Calibri" w:hAnsi="Calibri"/>
          <w:sz w:val="24"/>
          <w:szCs w:val="24"/>
        </w:rPr>
      </w:pPr>
      <w:commentRangeStart w:id="26"/>
      <w:r>
        <w:rPr>
          <w:rFonts w:ascii="Calibri" w:hAnsi="Calibri"/>
          <w:sz w:val="24"/>
          <w:szCs w:val="24"/>
          <w:lang w:eastAsia="en-US"/>
        </w:rPr>
        <w:t>As cessões de crédito dependerão de prévia aprovação do Contratante.</w:t>
      </w:r>
      <w:commentRangeEnd w:id="26"/>
      <w:r>
        <w:commentReference w:id="26"/>
      </w:r>
      <w:r>
        <w:rPr>
          <w:rFonts w:ascii="Calibri" w:hAnsi="Calibri"/>
          <w:sz w:val="24"/>
          <w:szCs w:val="24"/>
          <w:lang w:eastAsia="en-US"/>
        </w:rPr>
      </w:r>
    </w:p>
    <w:p>
      <w:pPr>
        <w:pStyle w:val="Nivel3"/>
        <w:numPr>
          <w:ilvl w:val="2"/>
          <w:numId w:val="101"/>
        </w:numPr>
        <w:ind w:left="284" w:hanging="0"/>
        <w:rPr>
          <w:rFonts w:ascii="Calibri" w:hAnsi="Calibri"/>
          <w:sz w:val="24"/>
          <w:szCs w:val="24"/>
        </w:rPr>
      </w:pPr>
      <w:commentRangeStart w:id="27"/>
      <w:r>
        <w:rPr>
          <w:rFonts w:ascii="Calibri" w:hAnsi="Calibri"/>
          <w:sz w:val="24"/>
          <w:szCs w:val="24"/>
          <w:lang w:eastAsia="en-US"/>
        </w:rPr>
        <w:t>A eficácia da cessão de crédito, em relação à Administração, está condicionada à celebração de termo aditivo ao contrato administrativo.</w:t>
      </w:r>
    </w:p>
    <w:p>
      <w:pPr>
        <w:pStyle w:val="Nivel3"/>
        <w:numPr>
          <w:ilvl w:val="2"/>
          <w:numId w:val="102"/>
        </w:numPr>
        <w:ind w:left="284" w:hanging="0"/>
        <w:rPr>
          <w:rFonts w:ascii="Calibri" w:hAnsi="Calibri"/>
          <w:sz w:val="24"/>
          <w:szCs w:val="24"/>
        </w:rPr>
      </w:pPr>
      <w:r>
        <w:rPr>
          <w:rFonts w:ascii="Calibri" w:hAnsi="Calibri"/>
          <w:sz w:val="24"/>
          <w:szCs w:val="24"/>
          <w:lang w:eastAsia="en-US"/>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pPr>
        <w:pStyle w:val="Nivel3"/>
        <w:numPr>
          <w:ilvl w:val="2"/>
          <w:numId w:val="103"/>
        </w:numPr>
        <w:ind w:left="284" w:hanging="0"/>
        <w:rPr>
          <w:rFonts w:ascii="Calibri" w:hAnsi="Calibri"/>
          <w:sz w:val="24"/>
          <w:szCs w:val="24"/>
        </w:rPr>
      </w:pPr>
      <w:r>
        <w:rPr>
          <w:rFonts w:ascii="Calibri" w:hAnsi="Calibri"/>
          <w:sz w:val="24"/>
          <w:szCs w:val="24"/>
          <w:lang w:eastAsia="en-US"/>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pPr>
        <w:pStyle w:val="Nivel3"/>
        <w:numPr>
          <w:ilvl w:val="2"/>
          <w:numId w:val="104"/>
        </w:numPr>
        <w:ind w:left="284" w:hanging="0"/>
        <w:rPr>
          <w:rFonts w:ascii="Calibri" w:hAnsi="Calibri"/>
          <w:sz w:val="24"/>
          <w:szCs w:val="24"/>
        </w:rPr>
      </w:pPr>
      <w:r>
        <w:rPr>
          <w:rFonts w:ascii="Calibri" w:hAnsi="Calibri"/>
          <w:sz w:val="24"/>
          <w:szCs w:val="24"/>
          <w:lang w:eastAsia="en-US"/>
        </w:rPr>
        <w:t>A cessão de crédito não afetará a execução do objeto contratado, que continuará sob a integral responsabilidade do Contratado.</w:t>
      </w:r>
      <w:commentRangeEnd w:id="27"/>
      <w:r>
        <w:commentReference w:id="27"/>
      </w:r>
      <w:r>
        <w:rPr>
          <w:rFonts w:ascii="Calibri" w:hAnsi="Calibri"/>
          <w:sz w:val="24"/>
          <w:szCs w:val="24"/>
          <w:lang w:eastAsia="en-US"/>
        </w:rPr>
      </w:r>
    </w:p>
    <w:p>
      <w:pPr>
        <w:pStyle w:val="Nvel02"/>
        <w:numPr>
          <w:ilvl w:val="1"/>
          <w:numId w:val="4"/>
        </w:numPr>
        <w:ind w:left="0" w:hanging="0"/>
        <w:rPr>
          <w:rFonts w:ascii="Calibri" w:hAnsi="Calibri"/>
          <w:sz w:val="24"/>
          <w:szCs w:val="24"/>
        </w:rPr>
      </w:pPr>
      <w:commentRangeStart w:id="28"/>
      <w:r>
        <w:rPr>
          <w:rFonts w:ascii="Calibri" w:hAnsi="Calibri"/>
          <w:sz w:val="24"/>
          <w:szCs w:val="24"/>
          <w:lang w:eastAsia="en-US"/>
        </w:rPr>
        <w:t>O disposto nesta seção não afeta as operações de crédito de que trata a Instrução Normativa SEGES/MGI nº 82, de 21 de fevereiro de 2025, as quais ficam por esta regidas.</w:t>
      </w:r>
      <w:commentRangeEnd w:id="28"/>
      <w:r>
        <w:commentReference w:id="28"/>
      </w:r>
      <w:r>
        <w:rPr>
          <w:rFonts w:ascii="Calibri" w:hAnsi="Calibri"/>
          <w:sz w:val="24"/>
          <w:szCs w:val="24"/>
          <w:lang w:eastAsia="en-US"/>
        </w:rPr>
      </w:r>
    </w:p>
    <w:p>
      <w:pPr>
        <w:pStyle w:val="Nvel1SemNumerao"/>
        <w:ind w:left="357" w:hanging="0"/>
        <w:rPr>
          <w:rFonts w:ascii="Calibri" w:hAnsi="Calibri"/>
          <w:sz w:val="24"/>
          <w:szCs w:val="24"/>
        </w:rPr>
      </w:pPr>
      <w:r>
        <w:rPr>
          <w:rFonts w:ascii="Calibri" w:hAnsi="Calibri"/>
          <w:sz w:val="24"/>
          <w:szCs w:val="24"/>
        </w:rPr>
        <w:t>Reajuste</w:t>
      </w:r>
    </w:p>
    <w:p>
      <w:pPr>
        <w:pStyle w:val="Nvel02"/>
        <w:numPr>
          <w:ilvl w:val="1"/>
          <w:numId w:val="4"/>
        </w:numPr>
        <w:ind w:left="0" w:hanging="0"/>
        <w:rPr>
          <w:rFonts w:ascii="Calibri" w:hAnsi="Calibri"/>
          <w:sz w:val="24"/>
          <w:szCs w:val="24"/>
        </w:rPr>
      </w:pPr>
      <w:r>
        <w:rPr>
          <w:rFonts w:ascii="Calibri" w:hAnsi="Calibri"/>
          <w:sz w:val="24"/>
          <w:szCs w:val="24"/>
        </w:rPr>
        <w:t xml:space="preserve">Os preços inicialmente contratados são fixos e irreajustáveis no prazo de um ano contado da data do orçamento estimado, </w:t>
      </w:r>
      <w:r>
        <w:rPr>
          <w:rFonts w:ascii="Calibri" w:hAnsi="Calibri"/>
          <w:i w:val="false"/>
          <w:iCs w:val="false"/>
          <w:color w:val="auto"/>
          <w:sz w:val="24"/>
          <w:szCs w:val="24"/>
        </w:rPr>
        <w:t xml:space="preserve">em </w:t>
      </w:r>
      <w:r>
        <w:rPr>
          <w:rFonts w:eastAsia="Arial" w:cs="Arial" w:ascii="Calibri" w:hAnsi="Calibri"/>
          <w:i w:val="false"/>
          <w:iCs w:val="false"/>
          <w:color w:val="auto"/>
          <w:sz w:val="24"/>
          <w:szCs w:val="24"/>
          <w:lang w:eastAsia="pt-BR"/>
        </w:rPr>
        <w:t>12/08/2025</w:t>
      </w:r>
      <w:r>
        <w:rPr>
          <w:rFonts w:ascii="Calibri" w:hAnsi="Calibri"/>
          <w:i w:val="false"/>
          <w:iCs w:val="false"/>
          <w:color w:val="auto"/>
          <w:sz w:val="24"/>
          <w:szCs w:val="24"/>
        </w:rPr>
        <w:t>.</w:t>
      </w:r>
      <w:bookmarkStart w:id="14" w:name="_Hlk169693537"/>
      <w:bookmarkEnd w:id="14"/>
    </w:p>
    <w:p>
      <w:pPr>
        <w:pStyle w:val="Nvel02"/>
        <w:numPr>
          <w:ilvl w:val="1"/>
          <w:numId w:val="4"/>
        </w:numPr>
        <w:ind w:left="0" w:hanging="0"/>
        <w:rPr>
          <w:rFonts w:ascii="Calibri" w:hAnsi="Calibri"/>
          <w:sz w:val="24"/>
          <w:szCs w:val="24"/>
        </w:rPr>
      </w:pPr>
      <w:commentRangeStart w:id="29"/>
      <w:r>
        <w:rPr>
          <w:rFonts w:ascii="Calibri" w:hAnsi="Calibri"/>
          <w:sz w:val="24"/>
          <w:szCs w:val="24"/>
        </w:rPr>
        <w:t>Após o interregno de um ano, e independentemente de pedido do C</w:t>
      </w:r>
      <w:commentRangeStart w:id="30"/>
      <w:r>
        <w:rPr>
          <w:rFonts w:ascii="Calibri" w:hAnsi="Calibri"/>
          <w:sz w:val="24"/>
          <w:szCs w:val="24"/>
        </w:rPr>
        <w:t>ontratado</w:t>
      </w:r>
      <w:r>
        <w:rPr>
          <w:rFonts w:ascii="Calibri" w:hAnsi="Calibri"/>
          <w:sz w:val="24"/>
          <w:szCs w:val="24"/>
        </w:rPr>
      </w:r>
      <w:commentRangeEnd w:id="30"/>
      <w:r>
        <w:commentReference w:id="30"/>
      </w:r>
      <w:r>
        <w:rPr>
          <w:rFonts w:ascii="Calibri" w:hAnsi="Calibri"/>
          <w:sz w:val="24"/>
          <w:szCs w:val="24"/>
        </w:rPr>
        <w:t>, os preços iniciais serão reajustados, mediante a aplicação, pelo Contratante, do ín</w:t>
      </w:r>
      <w:r>
        <w:rPr>
          <w:rFonts w:ascii="Calibri" w:hAnsi="Calibri"/>
          <w:color w:val="auto"/>
          <w:sz w:val="24"/>
          <w:szCs w:val="24"/>
        </w:rPr>
        <w:t xml:space="preserve">dice </w:t>
      </w:r>
      <w:r>
        <w:rPr>
          <w:rFonts w:eastAsia="Arial" w:cs="Arial" w:ascii="Calibri" w:hAnsi="Calibri"/>
          <w:i w:val="false"/>
          <w:iCs/>
          <w:color w:val="auto"/>
          <w:sz w:val="24"/>
          <w:szCs w:val="24"/>
          <w:lang w:eastAsia="pt-BR"/>
        </w:rPr>
        <w:t>IPCA</w:t>
      </w:r>
      <w:r>
        <w:rPr>
          <w:rFonts w:ascii="Calibri" w:hAnsi="Calibri"/>
          <w:i/>
          <w:color w:val="auto"/>
          <w:sz w:val="24"/>
          <w:szCs w:val="24"/>
        </w:rPr>
        <w:t>,</w:t>
      </w:r>
      <w:r>
        <w:rPr>
          <w:rFonts w:ascii="Calibri" w:hAnsi="Calibri"/>
          <w:color w:val="auto"/>
          <w:sz w:val="24"/>
          <w:szCs w:val="24"/>
        </w:rPr>
        <w:t xml:space="preserve"> exclusivame</w:t>
      </w:r>
      <w:r>
        <w:rPr>
          <w:rFonts w:ascii="Calibri" w:hAnsi="Calibri"/>
          <w:sz w:val="24"/>
          <w:szCs w:val="24"/>
        </w:rPr>
        <w:t>nte para as obrigações iniciadas e concluídas após a ocorrência da anualidade</w:t>
      </w:r>
      <w:r>
        <w:rPr>
          <w:rFonts w:ascii="Calibri" w:hAnsi="Calibri"/>
          <w:sz w:val="24"/>
          <w:szCs w:val="24"/>
        </w:rPr>
      </w:r>
      <w:commentRangeEnd w:id="29"/>
      <w:r>
        <w:commentReference w:id="29"/>
      </w:r>
      <w:r>
        <w:rPr>
          <w:rFonts w:ascii="Calibri" w:hAnsi="Calibri"/>
          <w:sz w:val="24"/>
          <w:szCs w:val="24"/>
        </w:rPr>
        <w:t>.</w:t>
      </w:r>
    </w:p>
    <w:p>
      <w:pPr>
        <w:pStyle w:val="Nvel02"/>
        <w:numPr>
          <w:ilvl w:val="1"/>
          <w:numId w:val="4"/>
        </w:numPr>
        <w:ind w:left="0" w:hanging="0"/>
        <w:rPr>
          <w:rFonts w:ascii="Calibri" w:hAnsi="Calibri"/>
          <w:sz w:val="24"/>
          <w:szCs w:val="24"/>
        </w:rPr>
      </w:pPr>
      <w:r>
        <w:rPr>
          <w:rFonts w:ascii="Calibri" w:hAnsi="Calibri"/>
          <w:sz w:val="24"/>
          <w:szCs w:val="24"/>
        </w:rPr>
        <w:t>Nos reajustes subsequentes ao primeiro, o interregno mínimo de um ano será contado a partir dos efeitos financeiros do último reajuste.</w:t>
      </w:r>
    </w:p>
    <w:p>
      <w:pPr>
        <w:pStyle w:val="Nvel02"/>
        <w:numPr>
          <w:ilvl w:val="1"/>
          <w:numId w:val="4"/>
        </w:numPr>
        <w:ind w:left="0" w:hanging="0"/>
        <w:rPr>
          <w:rFonts w:ascii="Calibri" w:hAnsi="Calibri"/>
          <w:sz w:val="24"/>
          <w:szCs w:val="24"/>
        </w:rPr>
      </w:pPr>
      <w:r>
        <w:rPr>
          <w:rFonts w:ascii="Calibri" w:hAnsi="Calibri"/>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pPr>
        <w:pStyle w:val="Nvel02"/>
        <w:numPr>
          <w:ilvl w:val="1"/>
          <w:numId w:val="4"/>
        </w:numPr>
        <w:ind w:left="0" w:hanging="0"/>
        <w:rPr>
          <w:rFonts w:ascii="Calibri" w:hAnsi="Calibri"/>
          <w:sz w:val="24"/>
          <w:szCs w:val="24"/>
        </w:rPr>
      </w:pPr>
      <w:r>
        <w:rPr>
          <w:rFonts w:ascii="Calibri" w:hAnsi="Calibri"/>
          <w:sz w:val="24"/>
          <w:szCs w:val="24"/>
        </w:rPr>
        <w:t>Nas aferições finais, o(s) índice(s) utilizado(s) para reajuste será(ão), obrigatoriamente, o(s) definitivo(s).</w:t>
      </w:r>
    </w:p>
    <w:p>
      <w:pPr>
        <w:pStyle w:val="Nvel02"/>
        <w:numPr>
          <w:ilvl w:val="1"/>
          <w:numId w:val="4"/>
        </w:numPr>
        <w:ind w:left="0" w:hanging="0"/>
        <w:rPr>
          <w:rFonts w:ascii="Calibri" w:hAnsi="Calibri"/>
          <w:sz w:val="24"/>
          <w:szCs w:val="24"/>
        </w:rPr>
      </w:pPr>
      <w:r>
        <w:rPr>
          <w:rFonts w:ascii="Calibri" w:hAnsi="Calibri"/>
          <w:sz w:val="24"/>
          <w:szCs w:val="24"/>
        </w:rPr>
        <w:t>Caso o(s) índice(s) estabelecido(s) para reajustamento venha(m) a ser extinto(s) ou de qualquer forma não possa(m) mais ser utilizado(s), será(ão) adotado(s), em substituição, o(s) que vier(em) a ser determinado(s) pela legislação então em vigor.</w:t>
      </w:r>
    </w:p>
    <w:p>
      <w:pPr>
        <w:pStyle w:val="Nvel02"/>
        <w:numPr>
          <w:ilvl w:val="1"/>
          <w:numId w:val="4"/>
        </w:numPr>
        <w:ind w:left="0" w:hanging="0"/>
        <w:rPr>
          <w:rFonts w:ascii="Calibri" w:hAnsi="Calibri"/>
          <w:sz w:val="24"/>
          <w:szCs w:val="24"/>
        </w:rPr>
      </w:pPr>
      <w:r>
        <w:rPr>
          <w:rFonts w:ascii="Calibri" w:hAnsi="Calibri"/>
          <w:sz w:val="24"/>
          <w:szCs w:val="24"/>
        </w:rPr>
        <w:t>Na ausência de previsão legal quanto ao índice substituto, as partes elegerão novo índice oficial, para reajustamento do preço do valor remanescente, por meio de termo aditivo.</w:t>
      </w:r>
    </w:p>
    <w:p>
      <w:pPr>
        <w:pStyle w:val="Nvel02"/>
        <w:numPr>
          <w:ilvl w:val="1"/>
          <w:numId w:val="4"/>
        </w:numPr>
        <w:ind w:left="0" w:hanging="0"/>
        <w:rPr>
          <w:rFonts w:ascii="Calibri" w:hAnsi="Calibri"/>
          <w:sz w:val="24"/>
          <w:szCs w:val="24"/>
        </w:rPr>
      </w:pPr>
      <w:r>
        <w:rPr>
          <w:rFonts w:ascii="Calibri" w:hAnsi="Calibri"/>
          <w:sz w:val="24"/>
          <w:szCs w:val="24"/>
        </w:rPr>
        <w:t>O reajuste será realizado por apostilamento.</w:t>
      </w:r>
    </w:p>
    <w:p>
      <w:pPr>
        <w:pStyle w:val="Nivel01"/>
        <w:numPr>
          <w:ilvl w:val="0"/>
          <w:numId w:val="4"/>
        </w:numPr>
        <w:ind w:left="357" w:hanging="357"/>
        <w:rPr>
          <w:rFonts w:ascii="Calibri" w:hAnsi="Calibri"/>
          <w:sz w:val="24"/>
          <w:szCs w:val="24"/>
        </w:rPr>
      </w:pPr>
      <w:r>
        <w:rPr>
          <w:rFonts w:ascii="Calibri" w:hAnsi="Calibri"/>
          <w:sz w:val="24"/>
          <w:szCs w:val="24"/>
        </w:rPr>
        <w:t>FORMA E CRITÉRIOS DE SELEÇÃO DO FORNECEDOR E FORMA DE FORNECIMENTO</w:t>
      </w:r>
    </w:p>
    <w:p>
      <w:pPr>
        <w:pStyle w:val="Nvel1SemNumerao"/>
        <w:ind w:left="357" w:hanging="0"/>
        <w:rPr>
          <w:rFonts w:ascii="Calibri" w:hAnsi="Calibri"/>
          <w:sz w:val="24"/>
          <w:szCs w:val="24"/>
        </w:rPr>
      </w:pPr>
      <w:r>
        <w:rPr>
          <w:rFonts w:ascii="Calibri" w:hAnsi="Calibri"/>
          <w:sz w:val="24"/>
          <w:szCs w:val="24"/>
        </w:rPr>
        <w:t xml:space="preserve">Forma de seleção e critério de julgamento da </w:t>
      </w:r>
      <w:commentRangeStart w:id="31"/>
      <w:r>
        <w:rPr>
          <w:rFonts w:ascii="Calibri" w:hAnsi="Calibri"/>
          <w:sz w:val="24"/>
          <w:szCs w:val="24"/>
        </w:rPr>
        <w:t>proposta</w:t>
      </w:r>
      <w:commentRangeEnd w:id="31"/>
      <w:r>
        <w:commentReference w:id="31"/>
      </w:r>
      <w:r>
        <w:rPr>
          <w:rFonts w:ascii="Calibri" w:hAnsi="Calibri"/>
          <w:sz w:val="24"/>
          <w:szCs w:val="24"/>
        </w:rPr>
      </w:r>
    </w:p>
    <w:p>
      <w:pPr>
        <w:pStyle w:val="Nvel02"/>
        <w:numPr>
          <w:ilvl w:val="1"/>
          <w:numId w:val="4"/>
        </w:numPr>
        <w:ind w:left="0" w:hanging="0"/>
        <w:rPr>
          <w:rFonts w:ascii="Calibri" w:hAnsi="Calibri"/>
          <w:sz w:val="24"/>
          <w:szCs w:val="24"/>
        </w:rPr>
      </w:pPr>
      <w:r>
        <w:rPr>
          <w:rFonts w:ascii="Calibri" w:hAnsi="Calibri"/>
          <w:sz w:val="24"/>
          <w:szCs w:val="24"/>
        </w:rPr>
        <w:t>O fo</w:t>
      </w:r>
      <w:r>
        <w:rPr>
          <w:rFonts w:ascii="Calibri" w:hAnsi="Calibri"/>
          <w:color w:val="auto"/>
          <w:sz w:val="24"/>
          <w:szCs w:val="24"/>
        </w:rPr>
        <w:t xml:space="preserve">rnecedor será selecionado por meio da realização de procedimento de LICITAÇÃO, na modalidade </w:t>
      </w:r>
      <w:r>
        <w:rPr>
          <w:rFonts w:ascii="Calibri" w:hAnsi="Calibri"/>
          <w:i/>
          <w:color w:val="auto"/>
          <w:sz w:val="24"/>
          <w:szCs w:val="24"/>
        </w:rPr>
        <w:t>PREGÃO</w:t>
      </w:r>
      <w:r>
        <w:rPr>
          <w:rFonts w:ascii="Calibri" w:hAnsi="Calibri"/>
          <w:color w:val="auto"/>
          <w:sz w:val="24"/>
          <w:szCs w:val="24"/>
        </w:rPr>
        <w:t xml:space="preserve">, sob a forma ELETRÔNICA, com adoção do critério de julgamento pelo </w:t>
      </w:r>
      <w:r>
        <w:rPr>
          <w:rFonts w:ascii="Calibri" w:hAnsi="Calibri"/>
          <w:i/>
          <w:color w:val="auto"/>
          <w:sz w:val="24"/>
          <w:szCs w:val="24"/>
        </w:rPr>
        <w:t>MENOR PREÇO</w:t>
      </w:r>
      <w:bookmarkStart w:id="15" w:name="_Hlk171371350"/>
      <w:bookmarkStart w:id="16" w:name="_Hlk171371336"/>
      <w:bookmarkEnd w:id="15"/>
      <w:bookmarkEnd w:id="16"/>
      <w:r>
        <w:rPr>
          <w:rFonts w:ascii="Calibri" w:hAnsi="Calibri"/>
          <w:i/>
          <w:color w:val="auto"/>
          <w:sz w:val="24"/>
          <w:szCs w:val="24"/>
        </w:rPr>
        <w:t>.</w:t>
      </w:r>
    </w:p>
    <w:p>
      <w:pPr>
        <w:pStyle w:val="Nvel1SemNumerao"/>
        <w:ind w:left="357" w:hanging="0"/>
        <w:rPr>
          <w:rFonts w:ascii="Calibri" w:hAnsi="Calibri"/>
          <w:color w:val="auto"/>
          <w:sz w:val="24"/>
          <w:szCs w:val="24"/>
        </w:rPr>
      </w:pPr>
      <w:r>
        <w:rPr>
          <w:rFonts w:ascii="Calibri" w:hAnsi="Calibri"/>
          <w:color w:val="auto"/>
          <w:sz w:val="24"/>
          <w:szCs w:val="24"/>
        </w:rPr>
        <w:t>Forma de fornecimento</w:t>
      </w:r>
    </w:p>
    <w:p>
      <w:pPr>
        <w:pStyle w:val="Nvel02"/>
        <w:numPr>
          <w:ilvl w:val="1"/>
          <w:numId w:val="4"/>
        </w:numPr>
        <w:ind w:left="0" w:hanging="0"/>
        <w:rPr/>
      </w:pPr>
      <w:r>
        <w:rPr>
          <w:rStyle w:val="Normaltextrun"/>
          <w:rFonts w:ascii="Calibri" w:hAnsi="Calibri"/>
          <w:color w:val="000000"/>
          <w:sz w:val="24"/>
          <w:szCs w:val="24"/>
          <w:shd w:fill="FFFFFF" w:val="clear"/>
        </w:rPr>
        <w:t xml:space="preserve">O </w:t>
      </w:r>
      <w:r>
        <w:rPr>
          <w:rStyle w:val="Findhit"/>
          <w:rFonts w:ascii="Calibri" w:hAnsi="Calibri"/>
          <w:color w:val="000000"/>
          <w:sz w:val="24"/>
          <w:szCs w:val="24"/>
          <w:shd w:fill="FFFFFF" w:val="clear"/>
        </w:rPr>
        <w:t xml:space="preserve">fornecimento do objeto será </w:t>
      </w:r>
      <w:r>
        <w:rPr>
          <w:rFonts w:ascii="Calibri" w:hAnsi="Calibri"/>
          <w:color w:val="auto"/>
          <w:sz w:val="24"/>
          <w:szCs w:val="24"/>
        </w:rPr>
        <w:t>parcelado</w:t>
      </w:r>
      <w:r>
        <w:rPr>
          <w:rFonts w:ascii="Calibri" w:hAnsi="Calibri"/>
          <w:color w:val="000000"/>
          <w:sz w:val="24"/>
          <w:szCs w:val="24"/>
          <w:shd w:fill="FFFFFF" w:val="clear"/>
        </w:rPr>
        <w:t>.</w:t>
      </w:r>
    </w:p>
    <w:p>
      <w:pPr>
        <w:pStyle w:val="Nvel1SemNumerao"/>
        <w:ind w:left="357" w:hanging="0"/>
        <w:rPr>
          <w:rFonts w:ascii="Calibri" w:hAnsi="Calibri"/>
          <w:sz w:val="24"/>
          <w:szCs w:val="24"/>
        </w:rPr>
      </w:pPr>
      <w:r>
        <w:rPr>
          <w:rStyle w:val="Findhit"/>
          <w:rFonts w:eastAsia="Arial" w:cs="Arial" w:ascii="Calibri" w:hAnsi="Calibri"/>
          <w:i w:val="false"/>
          <w:iCs/>
          <w:color w:val="000000"/>
          <w:sz w:val="24"/>
          <w:szCs w:val="24"/>
          <w:shd w:fill="auto" w:val="clear"/>
          <w:lang w:eastAsia="pt-BR"/>
        </w:rPr>
        <w:t>Critérios de aceitabilidade de preços</w:t>
      </w:r>
    </w:p>
    <w:p>
      <w:pPr>
        <w:pStyle w:val="Nvel3Opcional1"/>
        <w:numPr>
          <w:ilvl w:val="2"/>
          <w:numId w:val="4"/>
        </w:numPr>
        <w:ind w:left="284" w:hanging="0"/>
        <w:rPr>
          <w:rFonts w:ascii="Calibri" w:hAnsi="Calibri"/>
          <w:sz w:val="24"/>
          <w:szCs w:val="24"/>
        </w:rPr>
      </w:pPr>
      <w:r>
        <w:rPr>
          <w:rStyle w:val="Findhit"/>
          <w:rFonts w:eastAsia="Arial" w:cs="Arial" w:ascii="Calibri" w:hAnsi="Calibri"/>
          <w:i w:val="false"/>
          <w:iCs/>
          <w:color w:val="000000"/>
          <w:sz w:val="24"/>
          <w:szCs w:val="24"/>
          <w:shd w:fill="auto" w:val="clear"/>
          <w:lang w:eastAsia="pt-BR"/>
        </w:rPr>
        <w:t xml:space="preserve">Valores unitários: </w:t>
      </w:r>
      <w:r>
        <w:rPr>
          <w:rStyle w:val="Findhit"/>
          <w:rFonts w:eastAsia="Arial" w:cs="Arial" w:ascii="Calibri" w:hAnsi="Calibri"/>
          <w:b w:val="false"/>
          <w:bCs w:val="false"/>
          <w:i w:val="false"/>
          <w:iCs/>
          <w:color w:val="000000"/>
          <w:sz w:val="24"/>
          <w:szCs w:val="24"/>
          <w:u w:val="none"/>
          <w:shd w:fill="auto" w:val="clear"/>
          <w:lang w:eastAsia="pt-BR"/>
        </w:rPr>
        <w:t>Conforme</w:t>
      </w:r>
      <w:r>
        <w:rPr>
          <w:rStyle w:val="Findhit"/>
          <w:rFonts w:eastAsia="Arial" w:cs="Arial" w:ascii="Calibri" w:hAnsi="Calibri"/>
          <w:i w:val="false"/>
          <w:iCs/>
          <w:color w:val="000000"/>
          <w:sz w:val="24"/>
          <w:szCs w:val="24"/>
          <w:shd w:fill="auto" w:val="clear"/>
          <w:lang w:eastAsia="pt-BR"/>
        </w:rPr>
        <w:t xml:space="preserve"> tabela constante no item 1.1 deste Termo de Referência.</w:t>
      </w:r>
      <w:bookmarkStart w:id="17" w:name="_Hlk190336520"/>
      <w:bookmarkEnd w:id="17"/>
    </w:p>
    <w:p>
      <w:pPr>
        <w:pStyle w:val="Nvel1SemNumerao"/>
        <w:ind w:left="357" w:hanging="0"/>
        <w:rPr>
          <w:rFonts w:ascii="Calibri" w:hAnsi="Calibri"/>
          <w:color w:val="auto"/>
          <w:sz w:val="24"/>
          <w:szCs w:val="24"/>
          <w:highlight w:val="none"/>
          <w:shd w:fill="auto" w:val="clear"/>
        </w:rPr>
      </w:pPr>
      <w:commentRangeStart w:id="32"/>
      <w:r>
        <w:rPr>
          <w:rFonts w:ascii="Calibri" w:hAnsi="Calibri"/>
          <w:color w:val="000000"/>
          <w:sz w:val="24"/>
          <w:szCs w:val="24"/>
          <w:shd w:fill="auto" w:val="clear"/>
        </w:rPr>
        <w:t>Exigências de habilitação</w:t>
      </w:r>
      <w:commentRangeEnd w:id="32"/>
      <w:r>
        <w:commentReference w:id="32"/>
      </w:r>
      <w:r>
        <w:rPr>
          <w:rFonts w:ascii="Calibri" w:hAnsi="Calibri"/>
          <w:color w:val="000000"/>
          <w:sz w:val="24"/>
          <w:szCs w:val="24"/>
          <w:shd w:fill="auto" w:val="clear"/>
        </w:rPr>
      </w:r>
    </w:p>
    <w:p>
      <w:pPr>
        <w:pStyle w:val="Nvel02"/>
        <w:numPr>
          <w:ilvl w:val="1"/>
          <w:numId w:val="4"/>
        </w:numPr>
        <w:ind w:left="0" w:hanging="0"/>
        <w:rPr>
          <w:rFonts w:ascii="Calibri" w:hAnsi="Calibri"/>
          <w:sz w:val="24"/>
          <w:szCs w:val="24"/>
        </w:rPr>
      </w:pPr>
      <w:r>
        <w:rPr>
          <w:rFonts w:ascii="Calibri" w:hAnsi="Calibri"/>
          <w:sz w:val="24"/>
          <w:szCs w:val="24"/>
        </w:rPr>
        <w:t>Para fins de habilitação, deverá o interessado comprovar os seguintes requisitos:</w:t>
      </w:r>
    </w:p>
    <w:p>
      <w:pPr>
        <w:pStyle w:val="Nvel1SemNumerao"/>
        <w:ind w:left="357" w:hanging="0"/>
        <w:rPr>
          <w:rFonts w:ascii="Calibri" w:hAnsi="Calibri"/>
          <w:sz w:val="24"/>
          <w:szCs w:val="24"/>
        </w:rPr>
      </w:pPr>
      <w:r>
        <w:rPr>
          <w:rFonts w:ascii="Calibri" w:hAnsi="Calibri"/>
          <w:sz w:val="24"/>
          <w:szCs w:val="24"/>
        </w:rPr>
        <w:t>Habilitação jurídica</w:t>
      </w:r>
    </w:p>
    <w:p>
      <w:pPr>
        <w:pStyle w:val="Nvel02"/>
        <w:numPr>
          <w:ilvl w:val="1"/>
          <w:numId w:val="4"/>
        </w:numPr>
        <w:ind w:left="0" w:hanging="0"/>
        <w:rPr>
          <w:rFonts w:ascii="Calibri" w:hAnsi="Calibri"/>
          <w:sz w:val="24"/>
          <w:szCs w:val="24"/>
        </w:rPr>
      </w:pPr>
      <w:bookmarkStart w:id="18" w:name="_Ref115800561"/>
      <w:r>
        <w:rPr>
          <w:rFonts w:ascii="Calibri" w:hAnsi="Calibri"/>
          <w:sz w:val="24"/>
          <w:szCs w:val="24"/>
        </w:rPr>
        <w:t>p</w:t>
      </w:r>
      <w:commentRangeStart w:id="33"/>
      <w:commentRangeStart w:id="34"/>
      <w:r>
        <w:rPr>
          <w:rFonts w:ascii="Calibri" w:hAnsi="Calibri"/>
          <w:sz w:val="24"/>
          <w:szCs w:val="24"/>
        </w:rPr>
        <w:t>essoa física: cédula de identidade (RG) ou documento equivalente que, por força de lei, tenha validade para fins de identificação em todo o território nacional;</w:t>
      </w:r>
      <w:bookmarkEnd w:id="18"/>
      <w:r>
        <w:rPr>
          <w:rFonts w:ascii="Calibri" w:hAnsi="Calibri"/>
          <w:sz w:val="24"/>
          <w:szCs w:val="24"/>
        </w:rPr>
      </w:r>
      <w:commentRangeEnd w:id="34"/>
      <w:r>
        <w:commentReference w:id="34"/>
      </w:r>
      <w:commentRangeEnd w:id="33"/>
      <w:r>
        <w:commentReference w:id="33"/>
      </w:r>
      <w:r>
        <w:rPr>
          <w:rFonts w:ascii="Calibri" w:hAnsi="Calibri"/>
          <w:sz w:val="24"/>
          <w:szCs w:val="24"/>
        </w:rPr>
      </w:r>
    </w:p>
    <w:p>
      <w:pPr>
        <w:pStyle w:val="Nvel02"/>
        <w:numPr>
          <w:ilvl w:val="1"/>
          <w:numId w:val="4"/>
        </w:numPr>
        <w:ind w:left="0" w:hanging="0"/>
        <w:rPr>
          <w:rFonts w:ascii="Calibri" w:hAnsi="Calibri"/>
          <w:sz w:val="24"/>
          <w:szCs w:val="24"/>
        </w:rPr>
      </w:pPr>
      <w:r>
        <w:rPr>
          <w:rFonts w:ascii="Calibri" w:hAnsi="Calibri"/>
          <w:sz w:val="24"/>
          <w:szCs w:val="24"/>
        </w:rPr>
        <w:t>empresário individual: inscrição no Registro Público de Empresas Mercantis, a cargo da Junta Comercial da respectiva sede;</w:t>
      </w:r>
    </w:p>
    <w:p>
      <w:pPr>
        <w:pStyle w:val="Nvel02"/>
        <w:numPr>
          <w:ilvl w:val="1"/>
          <w:numId w:val="4"/>
        </w:numPr>
        <w:ind w:left="0" w:hanging="0"/>
        <w:rPr>
          <w:rFonts w:ascii="Calibri" w:hAnsi="Calibri"/>
          <w:sz w:val="24"/>
          <w:szCs w:val="24"/>
        </w:rPr>
      </w:pPr>
      <w:r>
        <w:rPr>
          <w:rFonts w:ascii="Calibri" w:hAnsi="Calibri"/>
          <w:sz w:val="24"/>
          <w:szCs w:val="24"/>
        </w:rPr>
        <w:t>Microempreendedor Individual - MEI: Certificado da Condição de Microempreendedor Individual - CCMEI, cuja aceitação ficará condicionada à verificação da autenticidade no sítio https://www.gov.br/empresas-e-negocios/pt-br/empreendedor;</w:t>
      </w:r>
    </w:p>
    <w:p>
      <w:pPr>
        <w:pStyle w:val="Nvel02"/>
        <w:numPr>
          <w:ilvl w:val="1"/>
          <w:numId w:val="4"/>
        </w:numPr>
        <w:ind w:left="0" w:hanging="0"/>
        <w:rPr>
          <w:rFonts w:ascii="Calibri" w:hAnsi="Calibri"/>
          <w:sz w:val="24"/>
          <w:szCs w:val="24"/>
        </w:rPr>
      </w:pPr>
      <w:r>
        <w:rPr>
          <w:rFonts w:ascii="Calibri" w:hAnsi="Calibri"/>
          <w:sz w:val="24"/>
          <w:szCs w:val="24"/>
        </w:rPr>
        <w:t>s</w:t>
      </w:r>
      <w:commentRangeStart w:id="35"/>
      <w:r>
        <w:rPr>
          <w:rFonts w:ascii="Calibri" w:hAnsi="Calibri"/>
          <w:sz w:val="24"/>
          <w:szCs w:val="24"/>
        </w:rPr>
        <w:t>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commentRangeEnd w:id="35"/>
      <w:r>
        <w:commentReference w:id="35"/>
      </w:r>
      <w:r>
        <w:rPr>
          <w:rFonts w:ascii="Calibri" w:hAnsi="Calibri"/>
          <w:sz w:val="24"/>
          <w:szCs w:val="24"/>
        </w:rPr>
      </w:r>
    </w:p>
    <w:p>
      <w:pPr>
        <w:pStyle w:val="Nvel02"/>
        <w:numPr>
          <w:ilvl w:val="1"/>
          <w:numId w:val="4"/>
        </w:numPr>
        <w:ind w:left="0" w:hanging="0"/>
        <w:rPr>
          <w:rFonts w:ascii="Calibri" w:hAnsi="Calibri"/>
          <w:sz w:val="24"/>
          <w:szCs w:val="24"/>
        </w:rPr>
      </w:pPr>
      <w:r>
        <w:rPr>
          <w:rFonts w:ascii="Calibri" w:hAnsi="Calibri"/>
          <w:sz w:val="24"/>
          <w:szCs w:val="24"/>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pPr>
        <w:pStyle w:val="Nvel02"/>
        <w:numPr>
          <w:ilvl w:val="1"/>
          <w:numId w:val="4"/>
        </w:numPr>
        <w:ind w:left="0" w:hanging="0"/>
        <w:rPr>
          <w:rFonts w:ascii="Calibri" w:hAnsi="Calibri"/>
          <w:sz w:val="24"/>
          <w:szCs w:val="24"/>
        </w:rPr>
      </w:pPr>
      <w:r>
        <w:rPr>
          <w:rFonts w:ascii="Calibri" w:hAnsi="Calibri"/>
          <w:sz w:val="24"/>
          <w:szCs w:val="24"/>
        </w:rPr>
        <w:t>sociedade simples: inscrição do ato constitutivo no Registro Civil de Pessoas Jurídicas do local de sua sede, acompanhada de documento comprobatório de seus administradores;</w:t>
      </w:r>
    </w:p>
    <w:p>
      <w:pPr>
        <w:pStyle w:val="Nvel02"/>
        <w:numPr>
          <w:ilvl w:val="1"/>
          <w:numId w:val="4"/>
        </w:numPr>
        <w:ind w:left="0" w:hanging="0"/>
        <w:rPr>
          <w:rFonts w:ascii="Calibri" w:hAnsi="Calibri"/>
          <w:sz w:val="24"/>
          <w:szCs w:val="24"/>
        </w:rPr>
      </w:pPr>
      <w:r>
        <w:rPr>
          <w:rFonts w:ascii="Calibri" w:hAnsi="Calibri"/>
          <w:sz w:val="24"/>
          <w:szCs w:val="24"/>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19" w:name="_Int_ySfCXwr4"/>
      <w:r>
        <w:rPr>
          <w:rFonts w:ascii="Calibri" w:hAnsi="Calibri"/>
          <w:sz w:val="24"/>
          <w:szCs w:val="24"/>
        </w:rPr>
        <w:t>Mercantis onde</w:t>
      </w:r>
      <w:bookmarkEnd w:id="19"/>
      <w:r>
        <w:rPr>
          <w:rFonts w:ascii="Calibri" w:hAnsi="Calibri"/>
          <w:sz w:val="24"/>
          <w:szCs w:val="24"/>
        </w:rPr>
        <w:t xml:space="preserve"> opera, com averbação no Registro onde tem sede a matriz;</w:t>
      </w:r>
    </w:p>
    <w:p>
      <w:pPr>
        <w:pStyle w:val="Nvel02"/>
        <w:numPr>
          <w:ilvl w:val="1"/>
          <w:numId w:val="4"/>
        </w:numPr>
        <w:ind w:left="0" w:hanging="0"/>
        <w:rPr>
          <w:rFonts w:ascii="Calibri" w:hAnsi="Calibri"/>
          <w:sz w:val="24"/>
          <w:szCs w:val="24"/>
        </w:rPr>
      </w:pPr>
      <w:r>
        <w:rPr>
          <w:rFonts w:ascii="Calibri" w:hAnsi="Calibri"/>
          <w:sz w:val="24"/>
          <w:szCs w:val="24"/>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pPr>
        <w:pStyle w:val="Nvel02"/>
        <w:numPr>
          <w:ilvl w:val="1"/>
          <w:numId w:val="4"/>
        </w:numPr>
        <w:ind w:left="0" w:hanging="0"/>
        <w:rPr>
          <w:rFonts w:ascii="Calibri" w:hAnsi="Calibri"/>
          <w:sz w:val="24"/>
          <w:szCs w:val="24"/>
        </w:rPr>
      </w:pPr>
      <w:r>
        <w:rPr>
          <w:rFonts w:ascii="Calibri" w:hAnsi="Calibri"/>
          <w:sz w:val="24"/>
          <w:szCs w:val="24"/>
        </w:rPr>
        <w:t>Os documentos apresentados deverão estar acompanhados de todas as alterações ou da consolidação respectiva.</w:t>
      </w:r>
    </w:p>
    <w:p>
      <w:pPr>
        <w:pStyle w:val="Nvel1SemNumerao"/>
        <w:ind w:left="357" w:hanging="0"/>
        <w:rPr>
          <w:rFonts w:ascii="Calibri" w:hAnsi="Calibri"/>
          <w:sz w:val="24"/>
          <w:szCs w:val="24"/>
        </w:rPr>
      </w:pPr>
      <w:r>
        <w:rPr>
          <w:rFonts w:ascii="Calibri" w:hAnsi="Calibri"/>
          <w:sz w:val="24"/>
          <w:szCs w:val="24"/>
        </w:rPr>
        <w:t>Habilitação fiscal, social e trabalhista</w:t>
      </w:r>
    </w:p>
    <w:p>
      <w:pPr>
        <w:pStyle w:val="Nvel02"/>
        <w:numPr>
          <w:ilvl w:val="1"/>
          <w:numId w:val="4"/>
        </w:numPr>
        <w:ind w:left="0" w:hanging="0"/>
        <w:rPr>
          <w:rFonts w:ascii="Calibri" w:hAnsi="Calibri"/>
          <w:sz w:val="24"/>
          <w:szCs w:val="24"/>
        </w:rPr>
      </w:pPr>
      <w:commentRangeStart w:id="36"/>
      <w:r>
        <w:rPr>
          <w:rFonts w:ascii="Calibri" w:hAnsi="Calibri"/>
          <w:sz w:val="24"/>
          <w:szCs w:val="24"/>
        </w:rPr>
        <w:t>Prova de inscrição no Cadastro Nacional de Pessoas Jurídicas ou no Cadastro de Pessoas Físicas, conforme o caso;</w:t>
      </w:r>
    </w:p>
    <w:p>
      <w:pPr>
        <w:pStyle w:val="Nvel02"/>
        <w:numPr>
          <w:ilvl w:val="1"/>
          <w:numId w:val="4"/>
        </w:numPr>
        <w:ind w:left="0" w:hanging="0"/>
        <w:rPr>
          <w:rFonts w:ascii="Calibri" w:hAnsi="Calibri"/>
          <w:sz w:val="24"/>
          <w:szCs w:val="24"/>
        </w:rPr>
      </w:pPr>
      <w:r>
        <w:rPr>
          <w:rFonts w:ascii="Calibri" w:hAnsi="Calibri"/>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pPr>
        <w:pStyle w:val="Nvel02"/>
        <w:numPr>
          <w:ilvl w:val="1"/>
          <w:numId w:val="4"/>
        </w:numPr>
        <w:ind w:left="0" w:hanging="0"/>
        <w:rPr>
          <w:rFonts w:ascii="Calibri" w:hAnsi="Calibri"/>
          <w:sz w:val="24"/>
          <w:szCs w:val="24"/>
        </w:rPr>
      </w:pPr>
      <w:r>
        <w:rPr>
          <w:rFonts w:ascii="Calibri" w:hAnsi="Calibri"/>
          <w:sz w:val="24"/>
          <w:szCs w:val="24"/>
        </w:rPr>
        <w:t>Prova de regularidade com o Fundo de Garantia do Tempo de Serviço (FGTS);</w:t>
      </w:r>
    </w:p>
    <w:p>
      <w:pPr>
        <w:pStyle w:val="Nvel02"/>
        <w:numPr>
          <w:ilvl w:val="1"/>
          <w:numId w:val="4"/>
        </w:numPr>
        <w:ind w:left="0" w:hanging="0"/>
        <w:rPr>
          <w:rFonts w:ascii="Calibri" w:hAnsi="Calibri"/>
          <w:sz w:val="24"/>
          <w:szCs w:val="24"/>
        </w:rPr>
      </w:pPr>
      <w:r>
        <w:rPr>
          <w:rFonts w:ascii="Calibri" w:hAnsi="Calibri"/>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vel02"/>
        <w:numPr>
          <w:ilvl w:val="1"/>
          <w:numId w:val="4"/>
        </w:numPr>
        <w:ind w:left="0" w:hanging="0"/>
        <w:rPr>
          <w:rFonts w:ascii="Calibri" w:hAnsi="Calibri"/>
          <w:sz w:val="24"/>
          <w:szCs w:val="24"/>
        </w:rPr>
      </w:pPr>
      <w:r>
        <w:rPr>
          <w:rFonts w:ascii="Calibri" w:hAnsi="Calibri"/>
          <w:sz w:val="24"/>
          <w:szCs w:val="24"/>
        </w:rPr>
        <w:t>Prova de inscrição no cadastro de contribuintes Estadual ou Distrital relativo ao domicílio ou sede do fornecedor, pertinente ao seu ramo de atividade e compatível com o objeto contratual;</w:t>
      </w:r>
    </w:p>
    <w:p>
      <w:pPr>
        <w:pStyle w:val="Nvel02"/>
        <w:numPr>
          <w:ilvl w:val="1"/>
          <w:numId w:val="4"/>
        </w:numPr>
        <w:ind w:left="0" w:hanging="0"/>
        <w:rPr>
          <w:rFonts w:ascii="Calibri" w:hAnsi="Calibri"/>
          <w:sz w:val="24"/>
          <w:szCs w:val="24"/>
        </w:rPr>
      </w:pPr>
      <w:r>
        <w:rPr>
          <w:rFonts w:ascii="Calibri" w:hAnsi="Calibri"/>
          <w:sz w:val="24"/>
          <w:szCs w:val="24"/>
        </w:rPr>
        <w:t>Prova de regularidade com a Fazenda Estadual ou Distrital do domicílio ou sede do fornecedor, relativa à atividade em cujo exercício contrata ou concorre;</w:t>
      </w:r>
      <w:commentRangeEnd w:id="36"/>
      <w:r>
        <w:commentReference w:id="36"/>
      </w:r>
      <w:r>
        <w:rPr>
          <w:rFonts w:ascii="Calibri" w:hAnsi="Calibri"/>
          <w:sz w:val="24"/>
          <w:szCs w:val="24"/>
        </w:rPr>
      </w:r>
    </w:p>
    <w:p>
      <w:pPr>
        <w:pStyle w:val="Nvel02"/>
        <w:numPr>
          <w:ilvl w:val="1"/>
          <w:numId w:val="4"/>
        </w:numPr>
        <w:ind w:left="0" w:hanging="0"/>
        <w:rPr>
          <w:rFonts w:ascii="Calibri" w:hAnsi="Calibri"/>
          <w:sz w:val="24"/>
          <w:szCs w:val="24"/>
        </w:rPr>
      </w:pPr>
      <w:r>
        <w:rPr>
          <w:rFonts w:ascii="Calibri" w:hAnsi="Calibri"/>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pPr>
        <w:pStyle w:val="Nvel02"/>
        <w:numPr>
          <w:ilvl w:val="1"/>
          <w:numId w:val="4"/>
        </w:numPr>
        <w:ind w:left="0" w:hanging="0"/>
        <w:rPr>
          <w:rFonts w:ascii="Calibri" w:hAnsi="Calibri"/>
          <w:sz w:val="24"/>
          <w:szCs w:val="24"/>
        </w:rPr>
      </w:pPr>
      <w:commentRangeStart w:id="37"/>
      <w:r>
        <w:rPr>
          <w:rFonts w:ascii="Calibri" w:hAnsi="Calibri"/>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bookmarkStart w:id="20" w:name="_Hlk121934117"/>
      <w:bookmarkEnd w:id="20"/>
      <w:commentRangeEnd w:id="37"/>
      <w:r>
        <w:commentReference w:id="37"/>
      </w:r>
      <w:r>
        <w:rPr>
          <w:rFonts w:ascii="Calibri" w:hAnsi="Calibri"/>
          <w:sz w:val="24"/>
          <w:szCs w:val="24"/>
        </w:rPr>
      </w:r>
    </w:p>
    <w:p>
      <w:pPr>
        <w:pStyle w:val="Nvel1SemNumerao"/>
        <w:ind w:left="357" w:hanging="0"/>
        <w:rPr>
          <w:rFonts w:ascii="Calibri" w:hAnsi="Calibri"/>
          <w:sz w:val="24"/>
          <w:szCs w:val="24"/>
        </w:rPr>
      </w:pPr>
      <w:commentRangeStart w:id="38"/>
      <w:r>
        <w:rPr>
          <w:rFonts w:ascii="Calibri" w:hAnsi="Calibri"/>
          <w:sz w:val="24"/>
          <w:szCs w:val="24"/>
        </w:rPr>
        <w:t>Qualificação Econômico-Financeira</w:t>
      </w:r>
      <w:commentRangeEnd w:id="38"/>
      <w:r>
        <w:commentReference w:id="38"/>
      </w:r>
      <w:r>
        <w:rPr>
          <w:rFonts w:ascii="Calibri" w:hAnsi="Calibri"/>
          <w:sz w:val="24"/>
          <w:szCs w:val="24"/>
        </w:rPr>
      </w:r>
    </w:p>
    <w:p>
      <w:pPr>
        <w:pStyle w:val="Nvel02"/>
        <w:numPr>
          <w:ilvl w:val="1"/>
          <w:numId w:val="4"/>
        </w:numPr>
        <w:ind w:left="0" w:hanging="0"/>
        <w:rPr>
          <w:rFonts w:ascii="Calibri" w:hAnsi="Calibri"/>
          <w:sz w:val="24"/>
          <w:szCs w:val="24"/>
        </w:rPr>
      </w:pPr>
      <w:r>
        <w:rPr>
          <w:rFonts w:ascii="Calibri" w:hAnsi="Calibri"/>
          <w:sz w:val="24"/>
          <w:szCs w:val="24"/>
        </w:rPr>
        <w:t>certidão negativa de insolvência civil expedida pelo distribuidor do domicílio ou sede do interessado, caso se trate de pessoa física, desde que admitida a sua participação na licitação/contratação, ou de sociedade simples;</w:t>
      </w:r>
    </w:p>
    <w:p>
      <w:pPr>
        <w:pStyle w:val="Nvel02"/>
        <w:numPr>
          <w:ilvl w:val="1"/>
          <w:numId w:val="4"/>
        </w:numPr>
        <w:ind w:left="0" w:hanging="0"/>
        <w:rPr>
          <w:rFonts w:ascii="Calibri" w:hAnsi="Calibri"/>
          <w:sz w:val="24"/>
          <w:szCs w:val="24"/>
        </w:rPr>
      </w:pPr>
      <w:r>
        <w:rPr>
          <w:rFonts w:ascii="Calibri" w:hAnsi="Calibri"/>
          <w:sz w:val="24"/>
          <w:szCs w:val="24"/>
        </w:rPr>
        <w:t>certidão negativa de falência expedida pelo distribuidor da sede do fornecedor;</w:t>
      </w:r>
    </w:p>
    <w:p>
      <w:pPr>
        <w:pStyle w:val="Nvel02"/>
        <w:numPr>
          <w:ilvl w:val="1"/>
          <w:numId w:val="4"/>
        </w:numPr>
        <w:ind w:left="0" w:hanging="0"/>
        <w:rPr>
          <w:rFonts w:ascii="Calibri" w:hAnsi="Calibri"/>
          <w:sz w:val="24"/>
          <w:szCs w:val="24"/>
        </w:rPr>
      </w:pPr>
      <w:r>
        <w:rPr>
          <w:rFonts w:ascii="Calibri" w:hAnsi="Calibri"/>
          <w:sz w:val="24"/>
          <w:szCs w:val="24"/>
        </w:rPr>
        <w:t>balanço patrimonial, demonstração de resultado de exercício e demais demonstrações con</w:t>
      </w:r>
      <w:r>
        <w:rPr>
          <w:rFonts w:eastAsia="Arial" w:cs="Arial" w:ascii="Calibri" w:hAnsi="Calibri"/>
          <w:i w:val="false"/>
          <w:iCs/>
          <w:color w:val="auto"/>
          <w:sz w:val="24"/>
          <w:szCs w:val="24"/>
          <w:lang w:eastAsia="pt-BR"/>
        </w:rPr>
        <w:t>tábeis dos dois últimos exercícios sociais, já exigíveis e apr</w:t>
      </w:r>
      <w:r>
        <w:rPr>
          <w:rFonts w:ascii="Calibri" w:hAnsi="Calibri"/>
          <w:sz w:val="24"/>
          <w:szCs w:val="24"/>
        </w:rPr>
        <w:t xml:space="preserve">esentados na forma da lei, comprovando, índices de Liquidez Geral (LG), Liquidez Corrente (LC), e Solvência Geral (SG) superiores a 1 (um), obtidos por meio da aplicação das seguintes </w:t>
      </w:r>
      <w:commentRangeStart w:id="39"/>
      <w:r>
        <w:rPr>
          <w:rFonts w:ascii="Calibri" w:hAnsi="Calibri"/>
          <w:sz w:val="24"/>
          <w:szCs w:val="24"/>
        </w:rPr>
        <w:t>fórmulas</w:t>
      </w:r>
      <w:r>
        <w:rPr>
          <w:rFonts w:ascii="Calibri" w:hAnsi="Calibri"/>
          <w:sz w:val="24"/>
          <w:szCs w:val="24"/>
        </w:rPr>
      </w:r>
      <w:commentRangeEnd w:id="39"/>
      <w:r>
        <w:commentReference w:id="39"/>
      </w:r>
      <w:r>
        <w:rPr>
          <w:rFonts w:ascii="Calibri" w:hAnsi="Calibri"/>
          <w:sz w:val="24"/>
          <w:szCs w:val="24"/>
        </w:rPr>
        <w:t xml:space="preserve">: </w:t>
      </w:r>
    </w:p>
    <w:tbl>
      <w:tblPr>
        <w:tblStyle w:val="Tabelacomgrade"/>
        <w:tblW w:w="6487" w:type="dxa"/>
        <w:jc w:val="left"/>
        <w:tblInd w:w="1134" w:type="dxa"/>
        <w:tblLayout w:type="fixed"/>
        <w:tblCellMar>
          <w:top w:w="0" w:type="dxa"/>
          <w:left w:w="108" w:type="dxa"/>
          <w:bottom w:w="0" w:type="dxa"/>
          <w:right w:w="108" w:type="dxa"/>
        </w:tblCellMar>
        <w:tblLook w:firstRow="1" w:noVBand="1" w:lastRow="0" w:firstColumn="1" w:lastColumn="0" w:noHBand="0" w:val="04a0"/>
      </w:tblPr>
      <w:tblGrid>
        <w:gridCol w:w="2234"/>
        <w:gridCol w:w="4252"/>
      </w:tblGrid>
      <w:tr>
        <w:trPr/>
        <w:tc>
          <w:tcPr>
            <w:tcW w:w="2234" w:type="dxa"/>
            <w:vMerge w:val="restart"/>
            <w:tcBorders>
              <w:top w:val="nil"/>
              <w:left w:val="nil"/>
              <w:bottom w:val="nil"/>
              <w:right w:val="nil"/>
            </w:tcBorders>
            <w:vAlign w:val="center"/>
          </w:tcPr>
          <w:p>
            <w:pPr>
              <w:pStyle w:val="Nvel02"/>
              <w:widowControl w:val="false"/>
              <w:numPr>
                <w:ilvl w:val="0"/>
                <w:numId w:val="0"/>
              </w:numPr>
              <w:suppressAutoHyphens w:val="true"/>
              <w:spacing w:before="120" w:after="120"/>
              <w:ind w:left="0" w:hanging="0"/>
              <w:rPr>
                <w:rFonts w:ascii="Calibri" w:hAnsi="Calibri"/>
                <w:kern w:val="0"/>
                <w:sz w:val="24"/>
                <w:szCs w:val="24"/>
                <w:lang w:val="pt-BR" w:bidi="ar-SA"/>
              </w:rPr>
            </w:pPr>
            <w:r>
              <w:rPr>
                <w:rFonts w:ascii="Calibri" w:hAnsi="Calibri"/>
                <w:kern w:val="0"/>
                <w:sz w:val="24"/>
                <w:szCs w:val="24"/>
                <w:lang w:val="pt-BR" w:bidi="ar-SA"/>
              </w:rPr>
              <w:t>LG =</w:t>
            </w:r>
          </w:p>
        </w:tc>
        <w:tc>
          <w:tcPr>
            <w:tcW w:w="4252" w:type="dxa"/>
            <w:tcBorders>
              <w:top w:val="nil"/>
              <w:left w:val="nil"/>
              <w:right w:val="nil"/>
            </w:tcBorders>
            <w:vAlign w:val="bottom"/>
          </w:tcPr>
          <w:p>
            <w:pPr>
              <w:pStyle w:val="Nvel02"/>
              <w:widowControl w:val="false"/>
              <w:numPr>
                <w:ilvl w:val="0"/>
                <w:numId w:val="0"/>
              </w:numPr>
              <w:suppressAutoHyphens w:val="true"/>
              <w:spacing w:before="120" w:after="120"/>
              <w:ind w:left="0" w:hanging="0"/>
              <w:rPr>
                <w:rFonts w:ascii="Calibri" w:hAnsi="Calibri"/>
                <w:kern w:val="0"/>
                <w:sz w:val="24"/>
                <w:szCs w:val="24"/>
                <w:lang w:val="pt-BR" w:bidi="ar-SA"/>
              </w:rPr>
            </w:pPr>
            <w:r>
              <w:rPr>
                <w:rFonts w:ascii="Calibri" w:hAnsi="Calibri"/>
                <w:kern w:val="0"/>
                <w:sz w:val="24"/>
                <w:szCs w:val="24"/>
                <w:lang w:val="pt-BR" w:bidi="ar-SA"/>
              </w:rPr>
              <w:t>Ativo Circulante + Realizável a Longo Prazo</w:t>
            </w:r>
          </w:p>
        </w:tc>
      </w:tr>
      <w:tr>
        <w:trPr/>
        <w:tc>
          <w:tcPr>
            <w:tcW w:w="2234" w:type="dxa"/>
            <w:vMerge w:val="continue"/>
            <w:tcBorders>
              <w:top w:val="nil"/>
              <w:left w:val="nil"/>
              <w:bottom w:val="nil"/>
              <w:right w:val="nil"/>
            </w:tcBorders>
          </w:tcPr>
          <w:p>
            <w:pPr>
              <w:pStyle w:val="Nvel02"/>
              <w:widowControl w:val="false"/>
              <w:numPr>
                <w:ilvl w:val="1"/>
                <w:numId w:val="4"/>
              </w:numPr>
              <w:suppressAutoHyphens w:val="true"/>
              <w:spacing w:before="120" w:after="120"/>
              <w:ind w:left="0" w:hanging="0"/>
              <w:rPr>
                <w:rFonts w:ascii="Calibri" w:hAnsi="Calibri"/>
                <w:kern w:val="0"/>
                <w:sz w:val="24"/>
                <w:szCs w:val="24"/>
                <w:lang w:val="pt-BR" w:bidi="ar-SA"/>
              </w:rPr>
            </w:pPr>
            <w:r>
              <w:rPr>
                <w:rFonts w:ascii="Calibri" w:hAnsi="Calibri"/>
                <w:kern w:val="0"/>
                <w:sz w:val="24"/>
                <w:szCs w:val="24"/>
                <w:lang w:val="pt-BR" w:bidi="ar-SA"/>
              </w:rPr>
            </w:r>
          </w:p>
        </w:tc>
        <w:tc>
          <w:tcPr>
            <w:tcW w:w="4252" w:type="dxa"/>
            <w:tcBorders>
              <w:left w:val="nil"/>
              <w:bottom w:val="nil"/>
              <w:right w:val="nil"/>
            </w:tcBorders>
          </w:tcPr>
          <w:p>
            <w:pPr>
              <w:pStyle w:val="Nvel02"/>
              <w:widowControl w:val="false"/>
              <w:numPr>
                <w:ilvl w:val="0"/>
                <w:numId w:val="0"/>
              </w:numPr>
              <w:suppressAutoHyphens w:val="true"/>
              <w:spacing w:before="120" w:after="120"/>
              <w:ind w:left="0" w:hanging="0"/>
              <w:rPr>
                <w:rFonts w:ascii="Calibri" w:hAnsi="Calibri"/>
                <w:kern w:val="0"/>
                <w:sz w:val="24"/>
                <w:szCs w:val="24"/>
                <w:lang w:val="pt-BR" w:bidi="ar-SA"/>
              </w:rPr>
            </w:pPr>
            <w:r>
              <w:rPr>
                <w:rFonts w:ascii="Calibri" w:hAnsi="Calibri"/>
                <w:kern w:val="0"/>
                <w:sz w:val="24"/>
                <w:szCs w:val="24"/>
                <w:lang w:val="pt-BR" w:bidi="ar-SA"/>
              </w:rPr>
              <w:t>Passivo Circulante + Passivo Não Circulante</w:t>
            </w:r>
          </w:p>
        </w:tc>
      </w:tr>
    </w:tbl>
    <w:p>
      <w:pPr>
        <w:pStyle w:val="Nvel02"/>
        <w:numPr>
          <w:ilvl w:val="0"/>
          <w:numId w:val="0"/>
        </w:numPr>
        <w:ind w:left="0" w:hanging="0"/>
        <w:rPr>
          <w:rFonts w:ascii="Calibri" w:hAnsi="Calibri"/>
          <w:sz w:val="24"/>
          <w:szCs w:val="24"/>
        </w:rPr>
      </w:pPr>
      <w:r>
        <w:rPr>
          <w:rFonts w:ascii="Calibri" w:hAnsi="Calibri"/>
          <w:sz w:val="24"/>
          <w:szCs w:val="24"/>
        </w:rPr>
      </w:r>
    </w:p>
    <w:tbl>
      <w:tblPr>
        <w:tblStyle w:val="Tabelacomgrade"/>
        <w:tblW w:w="6629" w:type="dxa"/>
        <w:jc w:val="left"/>
        <w:tblInd w:w="1134" w:type="dxa"/>
        <w:tblLayout w:type="fixed"/>
        <w:tblCellMar>
          <w:top w:w="0" w:type="dxa"/>
          <w:left w:w="108" w:type="dxa"/>
          <w:bottom w:w="0" w:type="dxa"/>
          <w:right w:w="108" w:type="dxa"/>
        </w:tblCellMar>
        <w:tblLook w:firstRow="1" w:noVBand="1" w:lastRow="0" w:firstColumn="1" w:lastColumn="0" w:noHBand="0" w:val="04a0"/>
      </w:tblPr>
      <w:tblGrid>
        <w:gridCol w:w="2235"/>
        <w:gridCol w:w="4393"/>
      </w:tblGrid>
      <w:tr>
        <w:trPr>
          <w:cantSplit w:val="true"/>
        </w:trPr>
        <w:tc>
          <w:tcPr>
            <w:tcW w:w="2235" w:type="dxa"/>
            <w:vMerge w:val="restart"/>
            <w:tcBorders>
              <w:top w:val="nil"/>
              <w:left w:val="nil"/>
              <w:bottom w:val="nil"/>
              <w:right w:val="nil"/>
            </w:tcBorders>
            <w:vAlign w:val="center"/>
          </w:tcPr>
          <w:p>
            <w:pPr>
              <w:pStyle w:val="Nvel02"/>
              <w:widowControl w:val="false"/>
              <w:numPr>
                <w:ilvl w:val="0"/>
                <w:numId w:val="0"/>
              </w:numPr>
              <w:suppressAutoHyphens w:val="true"/>
              <w:spacing w:before="120" w:after="120"/>
              <w:ind w:left="0" w:hanging="0"/>
              <w:rPr>
                <w:rFonts w:ascii="Calibri" w:hAnsi="Calibri"/>
                <w:kern w:val="0"/>
                <w:sz w:val="24"/>
                <w:szCs w:val="24"/>
                <w:lang w:val="pt-BR" w:bidi="ar-SA"/>
              </w:rPr>
            </w:pPr>
            <w:r>
              <w:rPr>
                <w:rFonts w:ascii="Calibri" w:hAnsi="Calibri"/>
                <w:kern w:val="0"/>
                <w:sz w:val="24"/>
                <w:szCs w:val="24"/>
                <w:lang w:val="pt-BR" w:bidi="ar-SA"/>
              </w:rPr>
              <w:t>SG =</w:t>
            </w:r>
          </w:p>
        </w:tc>
        <w:tc>
          <w:tcPr>
            <w:tcW w:w="4393" w:type="dxa"/>
            <w:tcBorders>
              <w:top w:val="nil"/>
              <w:left w:val="nil"/>
              <w:right w:val="nil"/>
            </w:tcBorders>
            <w:vAlign w:val="bottom"/>
          </w:tcPr>
          <w:p>
            <w:pPr>
              <w:pStyle w:val="Nvel02"/>
              <w:widowControl w:val="false"/>
              <w:numPr>
                <w:ilvl w:val="0"/>
                <w:numId w:val="0"/>
              </w:numPr>
              <w:suppressAutoHyphens w:val="true"/>
              <w:spacing w:before="120" w:after="120"/>
              <w:ind w:left="0" w:hanging="0"/>
              <w:rPr>
                <w:rFonts w:ascii="Calibri" w:hAnsi="Calibri"/>
                <w:kern w:val="0"/>
                <w:sz w:val="24"/>
                <w:szCs w:val="24"/>
                <w:lang w:val="pt-BR" w:bidi="ar-SA"/>
              </w:rPr>
            </w:pPr>
            <w:r>
              <w:rPr>
                <w:rFonts w:ascii="Calibri" w:hAnsi="Calibri"/>
                <w:kern w:val="0"/>
                <w:sz w:val="24"/>
                <w:szCs w:val="24"/>
                <w:lang w:val="pt-BR" w:bidi="ar-SA"/>
              </w:rPr>
              <w:t>Ativo Total</w:t>
            </w:r>
          </w:p>
        </w:tc>
      </w:tr>
      <w:tr>
        <w:trPr>
          <w:cantSplit w:val="true"/>
        </w:trPr>
        <w:tc>
          <w:tcPr>
            <w:tcW w:w="2235" w:type="dxa"/>
            <w:vMerge w:val="continue"/>
            <w:tcBorders>
              <w:top w:val="nil"/>
              <w:left w:val="nil"/>
              <w:bottom w:val="nil"/>
              <w:right w:val="nil"/>
            </w:tcBorders>
          </w:tcPr>
          <w:p>
            <w:pPr>
              <w:pStyle w:val="Nvel02"/>
              <w:widowControl w:val="false"/>
              <w:numPr>
                <w:ilvl w:val="1"/>
                <w:numId w:val="4"/>
              </w:numPr>
              <w:suppressAutoHyphens w:val="true"/>
              <w:spacing w:before="120" w:after="120"/>
              <w:ind w:left="0" w:hanging="0"/>
              <w:rPr>
                <w:rFonts w:ascii="Calibri" w:hAnsi="Calibri"/>
                <w:kern w:val="0"/>
                <w:sz w:val="24"/>
                <w:szCs w:val="24"/>
                <w:lang w:val="pt-BR" w:bidi="ar-SA"/>
              </w:rPr>
            </w:pPr>
            <w:r>
              <w:rPr>
                <w:rFonts w:ascii="Calibri" w:hAnsi="Calibri"/>
                <w:kern w:val="0"/>
                <w:sz w:val="24"/>
                <w:szCs w:val="24"/>
                <w:lang w:val="pt-BR" w:bidi="ar-SA"/>
              </w:rPr>
            </w:r>
          </w:p>
        </w:tc>
        <w:tc>
          <w:tcPr>
            <w:tcW w:w="4393" w:type="dxa"/>
            <w:tcBorders>
              <w:left w:val="nil"/>
              <w:bottom w:val="nil"/>
              <w:right w:val="nil"/>
            </w:tcBorders>
          </w:tcPr>
          <w:p>
            <w:pPr>
              <w:pStyle w:val="Nvel02"/>
              <w:widowControl w:val="false"/>
              <w:numPr>
                <w:ilvl w:val="0"/>
                <w:numId w:val="0"/>
              </w:numPr>
              <w:suppressAutoHyphens w:val="true"/>
              <w:spacing w:before="120" w:after="120"/>
              <w:ind w:left="0" w:hanging="0"/>
              <w:rPr>
                <w:rFonts w:ascii="Calibri" w:hAnsi="Calibri"/>
                <w:kern w:val="0"/>
                <w:sz w:val="24"/>
                <w:szCs w:val="24"/>
                <w:lang w:val="pt-BR" w:bidi="ar-SA"/>
              </w:rPr>
            </w:pPr>
            <w:r>
              <w:rPr>
                <w:rFonts w:ascii="Calibri" w:hAnsi="Calibri"/>
                <w:kern w:val="0"/>
                <w:sz w:val="24"/>
                <w:szCs w:val="24"/>
                <w:lang w:val="pt-BR" w:bidi="ar-SA"/>
              </w:rPr>
              <w:t>Passivo Circulante + Passivo Não Circulante</w:t>
            </w:r>
          </w:p>
        </w:tc>
      </w:tr>
    </w:tbl>
    <w:p>
      <w:pPr>
        <w:pStyle w:val="Nvel02"/>
        <w:numPr>
          <w:ilvl w:val="0"/>
          <w:numId w:val="0"/>
        </w:numPr>
        <w:ind w:left="0" w:hanging="0"/>
        <w:rPr>
          <w:rFonts w:ascii="Calibri" w:hAnsi="Calibri"/>
          <w:sz w:val="24"/>
          <w:szCs w:val="24"/>
        </w:rPr>
      </w:pPr>
      <w:r>
        <w:rPr>
          <w:rFonts w:ascii="Calibri" w:hAnsi="Calibri"/>
          <w:sz w:val="24"/>
          <w:szCs w:val="24"/>
        </w:rPr>
      </w:r>
    </w:p>
    <w:tbl>
      <w:tblPr>
        <w:tblStyle w:val="Tabelacomgrade"/>
        <w:tblW w:w="4786" w:type="dxa"/>
        <w:jc w:val="left"/>
        <w:tblInd w:w="1134" w:type="dxa"/>
        <w:tblLayout w:type="fixed"/>
        <w:tblCellMar>
          <w:top w:w="0" w:type="dxa"/>
          <w:left w:w="108" w:type="dxa"/>
          <w:bottom w:w="0" w:type="dxa"/>
          <w:right w:w="108" w:type="dxa"/>
        </w:tblCellMar>
        <w:tblLook w:firstRow="1" w:noVBand="1" w:lastRow="0" w:firstColumn="1" w:lastColumn="0" w:noHBand="0" w:val="04a0"/>
      </w:tblPr>
      <w:tblGrid>
        <w:gridCol w:w="2235"/>
        <w:gridCol w:w="2550"/>
      </w:tblGrid>
      <w:tr>
        <w:trPr/>
        <w:tc>
          <w:tcPr>
            <w:tcW w:w="2235" w:type="dxa"/>
            <w:vMerge w:val="restart"/>
            <w:tcBorders>
              <w:top w:val="nil"/>
              <w:left w:val="nil"/>
              <w:bottom w:val="nil"/>
              <w:right w:val="nil"/>
            </w:tcBorders>
            <w:vAlign w:val="center"/>
          </w:tcPr>
          <w:p>
            <w:pPr>
              <w:pStyle w:val="Nvel02"/>
              <w:widowControl w:val="false"/>
              <w:numPr>
                <w:ilvl w:val="0"/>
                <w:numId w:val="0"/>
              </w:numPr>
              <w:suppressAutoHyphens w:val="true"/>
              <w:spacing w:before="120" w:after="120"/>
              <w:ind w:left="0" w:hanging="0"/>
              <w:rPr>
                <w:rFonts w:ascii="Calibri" w:hAnsi="Calibri"/>
                <w:kern w:val="0"/>
                <w:sz w:val="24"/>
                <w:szCs w:val="24"/>
                <w:lang w:val="pt-BR" w:bidi="ar-SA"/>
              </w:rPr>
            </w:pPr>
            <w:r>
              <w:rPr>
                <w:rFonts w:ascii="Calibri" w:hAnsi="Calibri"/>
                <w:kern w:val="0"/>
                <w:sz w:val="24"/>
                <w:szCs w:val="24"/>
                <w:lang w:val="pt-BR" w:bidi="ar-SA"/>
              </w:rPr>
              <w:t>LC =</w:t>
            </w:r>
          </w:p>
        </w:tc>
        <w:tc>
          <w:tcPr>
            <w:tcW w:w="2550" w:type="dxa"/>
            <w:tcBorders>
              <w:top w:val="nil"/>
              <w:left w:val="nil"/>
              <w:right w:val="nil"/>
            </w:tcBorders>
            <w:vAlign w:val="bottom"/>
          </w:tcPr>
          <w:p>
            <w:pPr>
              <w:pStyle w:val="Nvel02"/>
              <w:widowControl w:val="false"/>
              <w:numPr>
                <w:ilvl w:val="0"/>
                <w:numId w:val="0"/>
              </w:numPr>
              <w:suppressAutoHyphens w:val="true"/>
              <w:spacing w:before="120" w:after="120"/>
              <w:ind w:left="0" w:hanging="0"/>
              <w:rPr>
                <w:rFonts w:ascii="Calibri" w:hAnsi="Calibri"/>
                <w:kern w:val="0"/>
                <w:sz w:val="24"/>
                <w:szCs w:val="24"/>
                <w:lang w:val="pt-BR" w:bidi="ar-SA"/>
              </w:rPr>
            </w:pPr>
            <w:r>
              <w:rPr>
                <w:rFonts w:ascii="Calibri" w:hAnsi="Calibri"/>
                <w:kern w:val="0"/>
                <w:sz w:val="24"/>
                <w:szCs w:val="24"/>
                <w:lang w:val="pt-BR" w:bidi="ar-SA"/>
              </w:rPr>
              <w:t>Ativo Circulante</w:t>
            </w:r>
          </w:p>
        </w:tc>
      </w:tr>
      <w:tr>
        <w:trPr/>
        <w:tc>
          <w:tcPr>
            <w:tcW w:w="2235" w:type="dxa"/>
            <w:vMerge w:val="continue"/>
            <w:tcBorders>
              <w:top w:val="nil"/>
              <w:left w:val="nil"/>
              <w:bottom w:val="nil"/>
              <w:right w:val="nil"/>
            </w:tcBorders>
          </w:tcPr>
          <w:p>
            <w:pPr>
              <w:pStyle w:val="Nvel02"/>
              <w:widowControl w:val="false"/>
              <w:numPr>
                <w:ilvl w:val="1"/>
                <w:numId w:val="4"/>
              </w:numPr>
              <w:suppressAutoHyphens w:val="true"/>
              <w:spacing w:before="120" w:after="120"/>
              <w:ind w:left="0" w:hanging="0"/>
              <w:rPr>
                <w:rFonts w:ascii="Calibri" w:hAnsi="Calibri"/>
                <w:kern w:val="0"/>
                <w:sz w:val="24"/>
                <w:szCs w:val="24"/>
                <w:lang w:val="pt-BR" w:bidi="ar-SA"/>
              </w:rPr>
            </w:pPr>
            <w:r>
              <w:rPr>
                <w:rFonts w:ascii="Calibri" w:hAnsi="Calibri"/>
                <w:kern w:val="0"/>
                <w:sz w:val="24"/>
                <w:szCs w:val="24"/>
                <w:lang w:val="pt-BR" w:bidi="ar-SA"/>
              </w:rPr>
            </w:r>
          </w:p>
        </w:tc>
        <w:tc>
          <w:tcPr>
            <w:tcW w:w="2550" w:type="dxa"/>
            <w:tcBorders>
              <w:left w:val="nil"/>
              <w:bottom w:val="nil"/>
              <w:right w:val="nil"/>
            </w:tcBorders>
          </w:tcPr>
          <w:p>
            <w:pPr>
              <w:pStyle w:val="Nvel02"/>
              <w:widowControl w:val="false"/>
              <w:numPr>
                <w:ilvl w:val="0"/>
                <w:numId w:val="0"/>
              </w:numPr>
              <w:suppressAutoHyphens w:val="true"/>
              <w:spacing w:before="120" w:after="120"/>
              <w:ind w:left="0" w:hanging="0"/>
              <w:rPr>
                <w:rFonts w:ascii="Calibri" w:hAnsi="Calibri"/>
                <w:kern w:val="0"/>
                <w:sz w:val="24"/>
                <w:szCs w:val="24"/>
                <w:lang w:val="pt-BR" w:bidi="ar-SA"/>
              </w:rPr>
            </w:pPr>
            <w:r>
              <w:rPr>
                <w:rFonts w:ascii="Calibri" w:hAnsi="Calibri"/>
                <w:kern w:val="0"/>
                <w:sz w:val="24"/>
                <w:szCs w:val="24"/>
                <w:lang w:val="pt-BR" w:bidi="ar-SA"/>
              </w:rPr>
              <w:t>Passivo Circulante</w:t>
            </w:r>
            <w:bookmarkStart w:id="21" w:name="_Hlk190941228"/>
            <w:bookmarkStart w:id="22" w:name="_Hlk169694941"/>
            <w:bookmarkEnd w:id="21"/>
            <w:bookmarkEnd w:id="22"/>
          </w:p>
        </w:tc>
      </w:tr>
    </w:tbl>
    <w:p>
      <w:pPr>
        <w:pStyle w:val="Nvel02"/>
        <w:numPr>
          <w:ilvl w:val="1"/>
          <w:numId w:val="4"/>
        </w:numPr>
        <w:ind w:left="0" w:hanging="0"/>
        <w:rPr>
          <w:rFonts w:ascii="Calibri" w:hAnsi="Calibri"/>
          <w:sz w:val="24"/>
          <w:szCs w:val="24"/>
        </w:rPr>
      </w:pPr>
      <w:commentRangeStart w:id="40"/>
      <w:r>
        <w:rPr>
          <w:rFonts w:ascii="Calibri" w:hAnsi="Calibri"/>
          <w:sz w:val="24"/>
          <w:szCs w:val="24"/>
        </w:rPr>
        <w:t>Caso a empresa interessada apresente resultado inferior ou igual a 1 (um) em qualquer dos índices de Liquidez Geral (LG), Solvência Geral (SG) e Liquidez Corrente (LC), será exigido para fins de habilita</w:t>
      </w:r>
      <w:r>
        <w:rPr>
          <w:rFonts w:eastAsia="Arial" w:cs="Arial" w:ascii="Calibri" w:hAnsi="Calibri"/>
          <w:i w:val="false"/>
          <w:iCs/>
          <w:color w:val="auto"/>
          <w:sz w:val="24"/>
          <w:szCs w:val="24"/>
          <w:lang w:eastAsia="pt-BR"/>
        </w:rPr>
        <w:t>ção patrimônio líquido mínimo de 10%  do  valor total estimado da parcela pertinente.</w:t>
      </w:r>
      <w:commentRangeEnd w:id="40"/>
      <w:r>
        <w:commentReference w:id="40"/>
      </w:r>
      <w:r>
        <w:rPr>
          <w:rFonts w:eastAsia="Arial" w:cs="Arial" w:ascii="Calibri" w:hAnsi="Calibri"/>
          <w:i w:val="false"/>
          <w:iCs/>
          <w:color w:val="auto"/>
          <w:sz w:val="24"/>
          <w:szCs w:val="24"/>
          <w:lang w:eastAsia="pt-BR"/>
        </w:rPr>
      </w:r>
    </w:p>
    <w:p>
      <w:pPr>
        <w:pStyle w:val="Nvel2Opcional1"/>
        <w:numPr>
          <w:ilvl w:val="1"/>
          <w:numId w:val="4"/>
        </w:numPr>
        <w:rPr>
          <w:rFonts w:ascii="Calibri" w:hAnsi="Calibri" w:eastAsia="Arial" w:cs="Arial"/>
          <w:i w:val="false"/>
          <w:i w:val="false"/>
          <w:iCs/>
          <w:color w:val="auto"/>
          <w:sz w:val="24"/>
          <w:szCs w:val="24"/>
          <w:lang w:eastAsia="pt-BR"/>
        </w:rPr>
      </w:pPr>
      <w:r>
        <w:rPr>
          <w:rFonts w:eastAsia="Arial" w:cs="Arial" w:ascii="Calibri" w:hAnsi="Calibri"/>
          <w:i w:val="false"/>
          <w:iCs/>
          <w:color w:val="auto"/>
          <w:sz w:val="24"/>
          <w:szCs w:val="24"/>
          <w:lang w:eastAsia="pt-BR"/>
        </w:rPr>
        <w:t xml:space="preserve">Os indicadores fixados acima deverão ser atingidos em cada um dos dois últimos exercícios sociais, sob pena de </w:t>
      </w:r>
      <w:commentRangeStart w:id="41"/>
      <w:r>
        <w:rPr>
          <w:rFonts w:eastAsia="Arial" w:cs="Arial" w:ascii="Calibri" w:hAnsi="Calibri"/>
          <w:i w:val="false"/>
          <w:iCs/>
          <w:color w:val="auto"/>
          <w:sz w:val="24"/>
          <w:szCs w:val="24"/>
          <w:lang w:eastAsia="pt-BR"/>
        </w:rPr>
        <w:t>inabilitação</w:t>
      </w:r>
      <w:r>
        <w:rPr>
          <w:rFonts w:eastAsia="Arial" w:cs="Arial" w:ascii="Calibri" w:hAnsi="Calibri"/>
          <w:i w:val="false"/>
          <w:iCs/>
          <w:color w:val="auto"/>
          <w:sz w:val="24"/>
          <w:szCs w:val="24"/>
          <w:lang w:eastAsia="pt-BR"/>
        </w:rPr>
      </w:r>
      <w:commentRangeEnd w:id="41"/>
      <w:r>
        <w:commentReference w:id="41"/>
      </w:r>
      <w:r>
        <w:rPr>
          <w:rFonts w:eastAsia="Arial" w:cs="Arial" w:ascii="Calibri" w:hAnsi="Calibri"/>
          <w:i w:val="false"/>
          <w:iCs/>
          <w:color w:val="auto"/>
          <w:sz w:val="24"/>
          <w:szCs w:val="24"/>
          <w:lang w:eastAsia="pt-BR"/>
        </w:rPr>
        <w:t>;</w:t>
      </w:r>
      <w:bookmarkStart w:id="23" w:name="_Hlk190941246"/>
      <w:bookmarkEnd w:id="23"/>
      <w:r>
        <w:rPr>
          <w:rFonts w:eastAsia="Arial" w:cs="Arial" w:ascii="Calibri" w:hAnsi="Calibri"/>
          <w:i w:val="false"/>
          <w:iCs/>
          <w:color w:val="auto"/>
          <w:sz w:val="24"/>
          <w:szCs w:val="24"/>
          <w:lang w:eastAsia="pt-BR"/>
        </w:rPr>
        <w:t xml:space="preserve"> </w:t>
      </w:r>
    </w:p>
    <w:p>
      <w:pPr>
        <w:pStyle w:val="Nvel02"/>
        <w:numPr>
          <w:ilvl w:val="1"/>
          <w:numId w:val="4"/>
        </w:numPr>
        <w:ind w:left="0" w:hanging="0"/>
        <w:rPr>
          <w:rFonts w:ascii="Calibri" w:hAnsi="Calibri"/>
          <w:sz w:val="24"/>
          <w:szCs w:val="24"/>
        </w:rPr>
      </w:pPr>
      <w:r>
        <w:rPr>
          <w:rFonts w:ascii="Calibri" w:hAnsi="Calibri"/>
          <w:sz w:val="24"/>
          <w:szCs w:val="24"/>
        </w:rPr>
        <w:t>Os documentos referidos acima limitar-se-ão ao último exercício no caso de a pessoa jurídica ter sido constituída há menos de 2 (dois) anos;</w:t>
      </w:r>
    </w:p>
    <w:p>
      <w:pPr>
        <w:pStyle w:val="Nvel02"/>
        <w:numPr>
          <w:ilvl w:val="1"/>
          <w:numId w:val="4"/>
        </w:numPr>
        <w:ind w:left="0" w:hanging="0"/>
        <w:rPr>
          <w:rFonts w:ascii="Calibri" w:hAnsi="Calibri"/>
          <w:sz w:val="24"/>
          <w:szCs w:val="24"/>
        </w:rPr>
      </w:pPr>
      <w:r>
        <w:rPr>
          <w:rFonts w:ascii="Calibri" w:hAnsi="Calibri"/>
          <w:sz w:val="24"/>
          <w:szCs w:val="24"/>
        </w:rPr>
        <w:t>Os documentos referidos acima deverão ser exigidos com base no limite definido pela Receita Federal do Brasil para transmissão da Escrituração Contábil Digital - ECD ao Sped.</w:t>
      </w:r>
      <w:bookmarkStart w:id="24" w:name="_Hlk170895502"/>
      <w:bookmarkEnd w:id="24"/>
    </w:p>
    <w:p>
      <w:pPr>
        <w:pStyle w:val="Nvel02"/>
        <w:numPr>
          <w:ilvl w:val="1"/>
          <w:numId w:val="4"/>
        </w:numPr>
        <w:ind w:left="0" w:hanging="0"/>
        <w:rPr>
          <w:rFonts w:ascii="Calibri" w:hAnsi="Calibri"/>
          <w:sz w:val="24"/>
          <w:szCs w:val="24"/>
        </w:rPr>
      </w:pPr>
      <w:r>
        <w:rPr>
          <w:rFonts w:ascii="Calibri" w:hAnsi="Calibri"/>
          <w:sz w:val="24"/>
          <w:szCs w:val="24"/>
        </w:rPr>
        <w:t>As empr</w:t>
      </w:r>
      <w:r>
        <w:rPr>
          <w:rFonts w:ascii="Calibri" w:hAnsi="Calibri"/>
          <w:i w:val="false"/>
          <w:iCs w:val="false"/>
          <w:color w:val="auto"/>
          <w:sz w:val="24"/>
          <w:szCs w:val="24"/>
        </w:rPr>
        <w:t>esas criadas no exercício financeiro da licitação/contratação deverão atender a todas as exigências da habilitação e poderão substituir os demonstrativos contábeis pelo balanço de abertura.</w:t>
      </w:r>
    </w:p>
    <w:p>
      <w:pPr>
        <w:pStyle w:val="Nvel2Opcional1"/>
        <w:numPr>
          <w:ilvl w:val="1"/>
          <w:numId w:val="4"/>
        </w:numPr>
        <w:rPr>
          <w:rFonts w:ascii="Calibri" w:hAnsi="Calibri"/>
          <w:i w:val="false"/>
          <w:i w:val="false"/>
          <w:iCs w:val="false"/>
          <w:color w:val="auto"/>
          <w:sz w:val="24"/>
          <w:szCs w:val="24"/>
        </w:rPr>
      </w:pPr>
      <w:commentRangeStart w:id="42"/>
      <w:r>
        <w:rPr>
          <w:rFonts w:ascii="Calibri" w:hAnsi="Calibri"/>
          <w:i w:val="false"/>
          <w:iCs w:val="false"/>
          <w:color w:val="auto"/>
          <w:sz w:val="24"/>
          <w:szCs w:val="24"/>
        </w:rPr>
        <w:t>O atendimento dos índices econômicos previstos neste item deverá ser atestado mediante declaração assinada por profissional habilitado da área contábil, apresentada pelo fornecedor.</w:t>
      </w:r>
      <w:commentRangeEnd w:id="42"/>
      <w:r>
        <w:commentReference w:id="42"/>
      </w:r>
      <w:r>
        <w:rPr>
          <w:rFonts w:ascii="Calibri" w:hAnsi="Calibri"/>
          <w:i w:val="false"/>
          <w:iCs w:val="false"/>
          <w:color w:val="auto"/>
          <w:sz w:val="24"/>
          <w:szCs w:val="24"/>
        </w:rPr>
      </w:r>
    </w:p>
    <w:p>
      <w:pPr>
        <w:pStyle w:val="Nvel1SemNumerao"/>
        <w:ind w:left="357" w:hanging="0"/>
        <w:rPr>
          <w:rFonts w:ascii="Calibri" w:hAnsi="Calibri"/>
          <w:sz w:val="24"/>
          <w:szCs w:val="24"/>
        </w:rPr>
      </w:pPr>
      <w:commentRangeStart w:id="43"/>
      <w:commentRangeStart w:id="44"/>
      <w:r>
        <w:rPr>
          <w:rFonts w:ascii="Calibri" w:hAnsi="Calibri"/>
          <w:sz w:val="24"/>
          <w:szCs w:val="24"/>
        </w:rPr>
        <w:t>Qualificação Técnica</w:t>
      </w:r>
      <w:r>
        <w:rPr>
          <w:rFonts w:ascii="Calibri" w:hAnsi="Calibri"/>
          <w:sz w:val="24"/>
          <w:szCs w:val="24"/>
        </w:rPr>
      </w:r>
      <w:commentRangeEnd w:id="44"/>
      <w:r>
        <w:commentReference w:id="44"/>
      </w:r>
      <w:commentRangeEnd w:id="43"/>
      <w:r>
        <w:commentReference w:id="43"/>
      </w:r>
      <w:r>
        <w:rPr>
          <w:rFonts w:ascii="Calibri" w:hAnsi="Calibri"/>
          <w:sz w:val="24"/>
          <w:szCs w:val="24"/>
        </w:rPr>
      </w:r>
    </w:p>
    <w:p>
      <w:pPr>
        <w:pStyle w:val="Nvel2Opcional1"/>
        <w:numPr>
          <w:ilvl w:val="0"/>
          <w:numId w:val="0"/>
        </w:numPr>
        <w:ind w:left="1495" w:hanging="0"/>
        <w:rPr>
          <w:rFonts w:ascii="Calibri" w:hAnsi="Calibri"/>
          <w:sz w:val="24"/>
          <w:szCs w:val="24"/>
        </w:rPr>
      </w:pPr>
      <w:r>
        <w:rPr>
          <w:rFonts w:ascii="Calibri" w:hAnsi="Calibri"/>
          <w:sz w:val="24"/>
          <w:szCs w:val="24"/>
        </w:rPr>
      </w:r>
      <w:bookmarkStart w:id="25" w:name="_Hlk171010459"/>
      <w:bookmarkStart w:id="26" w:name="_Hlk171010459"/>
      <w:bookmarkEnd w:id="26"/>
    </w:p>
    <w:p>
      <w:pPr>
        <w:pStyle w:val="Nvel2Opcional1"/>
        <w:numPr>
          <w:ilvl w:val="1"/>
          <w:numId w:val="4"/>
        </w:numPr>
        <w:rPr>
          <w:rFonts w:ascii="Calibri" w:hAnsi="Calibri"/>
          <w:i w:val="false"/>
          <w:i w:val="false"/>
          <w:iCs w:val="false"/>
          <w:color w:val="auto"/>
          <w:sz w:val="24"/>
          <w:szCs w:val="24"/>
        </w:rPr>
      </w:pPr>
      <w:bookmarkStart w:id="27" w:name="_Hlk1710104591"/>
      <w:bookmarkEnd w:id="27"/>
      <w:commentRangeStart w:id="45"/>
      <w:r>
        <w:rPr>
          <w:rFonts w:ascii="Calibri" w:hAnsi="Calibri"/>
          <w:i w:val="false"/>
          <w:iCs w:val="false"/>
          <w:color w:val="auto"/>
          <w:sz w:val="24"/>
          <w:szCs w:val="24"/>
        </w:rPr>
        <w:t>Comprovação de aptidão para o fornecimento de bens similares, de complexidade tecnológica e operacional equivalente ou superior à do objeto desta contratação, ou do item pertinente, por meio da apresentação de certidões ou atestados emitidos por pessoas jurídicas de direito público ou privado, ou pelo conselho profissional competente, quando for o caso.</w:t>
      </w:r>
    </w:p>
    <w:p>
      <w:pPr>
        <w:pStyle w:val="Nvel3Opcional1"/>
        <w:numPr>
          <w:ilvl w:val="2"/>
          <w:numId w:val="105"/>
        </w:numPr>
        <w:ind w:left="284" w:hanging="0"/>
        <w:rPr>
          <w:rFonts w:ascii="Calibri" w:hAnsi="Calibri"/>
          <w:i w:val="false"/>
          <w:i w:val="false"/>
          <w:iCs w:val="false"/>
          <w:color w:val="auto"/>
          <w:sz w:val="24"/>
          <w:szCs w:val="24"/>
        </w:rPr>
      </w:pPr>
      <w:r>
        <w:rPr>
          <w:rFonts w:ascii="Calibri" w:hAnsi="Calibri"/>
          <w:i w:val="false"/>
          <w:iCs w:val="false"/>
          <w:color w:val="auto"/>
          <w:sz w:val="24"/>
          <w:szCs w:val="24"/>
        </w:rPr>
        <w:t>Para fins da comprovação de que trata este subitem, os atestados deverão dizer respeito a contratos executados com as seguintes características mínimas:</w:t>
      </w:r>
    </w:p>
    <w:p>
      <w:pPr>
        <w:pStyle w:val="Nvel4R"/>
        <w:numPr>
          <w:ilvl w:val="3"/>
          <w:numId w:val="106"/>
        </w:numPr>
        <w:ind w:left="567" w:hanging="0"/>
        <w:rPr>
          <w:rFonts w:ascii="Calibri" w:hAnsi="Calibri"/>
          <w:i w:val="false"/>
          <w:i w:val="false"/>
          <w:iCs w:val="false"/>
          <w:color w:val="auto"/>
          <w:sz w:val="24"/>
          <w:szCs w:val="24"/>
        </w:rPr>
      </w:pPr>
      <w:r>
        <w:rPr>
          <w:rFonts w:ascii="Calibri" w:hAnsi="Calibri"/>
          <w:i w:val="false"/>
          <w:iCs w:val="false"/>
          <w:color w:val="auto"/>
          <w:sz w:val="24"/>
          <w:szCs w:val="24"/>
        </w:rPr>
        <w:t xml:space="preserve">Comprovação de fornecimento de embarcação em Alumínio Naval ou Fibra de Vidro de no mínimo 10% da quantidade estimada; </w:t>
      </w:r>
    </w:p>
    <w:p>
      <w:pPr>
        <w:pStyle w:val="Nvel4R"/>
        <w:numPr>
          <w:ilvl w:val="3"/>
          <w:numId w:val="107"/>
        </w:numPr>
        <w:ind w:left="567" w:hanging="0"/>
        <w:rPr>
          <w:rFonts w:ascii="Calibri" w:hAnsi="Calibri"/>
          <w:i w:val="false"/>
          <w:i w:val="false"/>
          <w:iCs w:val="false"/>
          <w:color w:val="auto"/>
          <w:sz w:val="24"/>
          <w:szCs w:val="24"/>
        </w:rPr>
      </w:pPr>
      <w:r>
        <w:rPr>
          <w:rFonts w:ascii="Calibri" w:hAnsi="Calibri"/>
          <w:i w:val="false"/>
          <w:iCs w:val="false"/>
          <w:color w:val="auto"/>
          <w:sz w:val="24"/>
          <w:szCs w:val="24"/>
        </w:rPr>
        <w:t>Comprovação de fornecimento de motor</w:t>
      </w:r>
      <w:r>
        <w:rPr>
          <w:rFonts w:cs="Arial" w:ascii="Calibri" w:hAnsi="Calibri"/>
          <w:bCs/>
          <w:i w:val="false"/>
          <w:iCs w:val="false"/>
          <w:color w:val="auto"/>
          <w:sz w:val="24"/>
          <w:szCs w:val="24"/>
          <w:lang w:eastAsia="pt-BR"/>
        </w:rPr>
        <w:t>es</w:t>
      </w:r>
      <w:r>
        <w:rPr>
          <w:rFonts w:ascii="Calibri" w:hAnsi="Calibri"/>
          <w:i w:val="false"/>
          <w:iCs w:val="false"/>
          <w:color w:val="auto"/>
          <w:sz w:val="24"/>
          <w:szCs w:val="24"/>
        </w:rPr>
        <w:t xml:space="preserve"> com potência mínima de </w:t>
      </w:r>
      <w:r>
        <w:rPr>
          <w:rFonts w:cs="Arial" w:ascii="Calibri" w:hAnsi="Calibri"/>
          <w:bCs/>
          <w:i w:val="false"/>
          <w:iCs w:val="false"/>
          <w:color w:val="auto"/>
          <w:sz w:val="24"/>
          <w:szCs w:val="24"/>
          <w:lang w:eastAsia="pt-BR"/>
        </w:rPr>
        <w:t>40</w:t>
      </w:r>
      <w:r>
        <w:rPr>
          <w:rFonts w:ascii="Calibri" w:hAnsi="Calibri"/>
          <w:i w:val="false"/>
          <w:iCs w:val="false"/>
          <w:color w:val="auto"/>
          <w:sz w:val="24"/>
          <w:szCs w:val="24"/>
        </w:rPr>
        <w:t xml:space="preserve">HP ou sistema de propulsão similar </w:t>
      </w:r>
      <w:r>
        <w:rPr>
          <w:rFonts w:cs="Arial" w:ascii="Calibri" w:hAnsi="Calibri"/>
          <w:bCs/>
          <w:i w:val="false"/>
          <w:iCs w:val="false"/>
          <w:color w:val="auto"/>
          <w:sz w:val="24"/>
          <w:szCs w:val="24"/>
          <w:lang w:eastAsia="pt-BR"/>
        </w:rPr>
        <w:t>ao objeto de no mínimo 10% da quantidade estimada.</w:t>
      </w:r>
    </w:p>
    <w:p>
      <w:pPr>
        <w:pStyle w:val="Nvel3Opcional1"/>
        <w:numPr>
          <w:ilvl w:val="2"/>
          <w:numId w:val="108"/>
        </w:numPr>
        <w:ind w:left="284" w:hanging="0"/>
        <w:rPr>
          <w:rFonts w:ascii="Calibri" w:hAnsi="Calibri"/>
          <w:i w:val="false"/>
          <w:i w:val="false"/>
          <w:iCs w:val="false"/>
          <w:color w:val="auto"/>
          <w:sz w:val="24"/>
          <w:szCs w:val="24"/>
        </w:rPr>
      </w:pPr>
      <w:r>
        <w:rPr>
          <w:rFonts w:ascii="Calibri" w:hAnsi="Calibri"/>
          <w:i w:val="false"/>
          <w:iCs w:val="false"/>
          <w:color w:val="auto"/>
          <w:sz w:val="24"/>
          <w:szCs w:val="24"/>
        </w:rPr>
        <w:t>Serão admitidos, para fins de comprovação de quantitativo mínimo exigido, a apresentação e o somatório de diferentes atestados relativos a contratos executados de forma concomitante.</w:t>
      </w:r>
      <w:commentRangeEnd w:id="45"/>
      <w:r>
        <w:commentReference w:id="45"/>
      </w:r>
      <w:r>
        <w:rPr>
          <w:rFonts w:ascii="Calibri" w:hAnsi="Calibri"/>
          <w:i w:val="false"/>
          <w:iCs w:val="false"/>
          <w:color w:val="auto"/>
          <w:sz w:val="24"/>
          <w:szCs w:val="24"/>
        </w:rPr>
      </w:r>
    </w:p>
    <w:p>
      <w:pPr>
        <w:pStyle w:val="Nvel3Opcional1"/>
        <w:numPr>
          <w:ilvl w:val="2"/>
          <w:numId w:val="109"/>
        </w:numPr>
        <w:ind w:left="284" w:hanging="0"/>
        <w:rPr>
          <w:rFonts w:ascii="Calibri" w:hAnsi="Calibri"/>
          <w:i w:val="false"/>
          <w:i w:val="false"/>
          <w:iCs w:val="false"/>
          <w:color w:val="auto"/>
          <w:sz w:val="24"/>
          <w:szCs w:val="24"/>
        </w:rPr>
      </w:pPr>
      <w:commentRangeStart w:id="46"/>
      <w:r>
        <w:rPr>
          <w:rFonts w:ascii="Calibri" w:hAnsi="Calibri"/>
          <w:i w:val="false"/>
          <w:iCs w:val="false"/>
          <w:color w:val="auto"/>
          <w:sz w:val="24"/>
          <w:szCs w:val="24"/>
        </w:rPr>
        <w:t>Os atestados de capacidade técnica poderão ser apresentados em nome da matriz ou da filial do fornecedor.</w:t>
      </w:r>
      <w:commentRangeEnd w:id="46"/>
      <w:r>
        <w:commentReference w:id="46"/>
      </w:r>
      <w:r>
        <w:rPr>
          <w:rFonts w:ascii="Calibri" w:hAnsi="Calibri"/>
          <w:i w:val="false"/>
          <w:iCs w:val="false"/>
          <w:color w:val="auto"/>
          <w:sz w:val="24"/>
          <w:szCs w:val="24"/>
        </w:rPr>
      </w:r>
    </w:p>
    <w:p>
      <w:pPr>
        <w:pStyle w:val="Nvel3Opcional1"/>
        <w:numPr>
          <w:ilvl w:val="2"/>
          <w:numId w:val="110"/>
        </w:numPr>
        <w:ind w:left="284" w:hanging="0"/>
        <w:rPr>
          <w:rFonts w:ascii="Calibri" w:hAnsi="Calibri"/>
          <w:i w:val="false"/>
          <w:i w:val="false"/>
          <w:iCs w:val="false"/>
          <w:color w:val="auto"/>
          <w:sz w:val="24"/>
          <w:szCs w:val="24"/>
        </w:rPr>
      </w:pPr>
      <w:r>
        <w:rPr>
          <w:rFonts w:ascii="Calibri" w:hAnsi="Calibri"/>
          <w:i w:val="false"/>
          <w:iCs w:val="false"/>
          <w:color w:val="auto"/>
          <w:sz w:val="24"/>
          <w:szCs w:val="24"/>
        </w:rPr>
        <w:t>O fornecedor disponibilizará todas as informações necessárias à comprovação da legitimidade dos atestados, apresentando, quando solicitado pela Administração, cópia do contrato que deu suporte à contratação, endereço atual do Contratante e local em que foi executado o objeto contratado, dentre outros documentos.</w:t>
      </w:r>
    </w:p>
    <w:p>
      <w:pPr>
        <w:pStyle w:val="Nvel2Opcional1"/>
        <w:numPr>
          <w:ilvl w:val="0"/>
          <w:numId w:val="0"/>
        </w:numPr>
        <w:ind w:left="1709" w:hanging="0"/>
        <w:rPr>
          <w:rFonts w:ascii="Calibri" w:hAnsi="Calibri"/>
          <w:i w:val="false"/>
          <w:i w:val="false"/>
          <w:iCs w:val="false"/>
          <w:color w:val="auto"/>
          <w:sz w:val="24"/>
          <w:szCs w:val="24"/>
        </w:rPr>
      </w:pPr>
      <w:r>
        <w:rPr>
          <w:rFonts w:ascii="Calibri" w:hAnsi="Calibri"/>
          <w:i w:val="false"/>
          <w:iCs w:val="false"/>
          <w:color w:val="auto"/>
          <w:sz w:val="24"/>
          <w:szCs w:val="24"/>
        </w:rPr>
      </w:r>
      <w:bookmarkStart w:id="28" w:name="_Hlk171013756"/>
      <w:bookmarkStart w:id="29" w:name="_Hlk171013756"/>
      <w:bookmarkEnd w:id="29"/>
    </w:p>
    <w:p>
      <w:pPr>
        <w:pStyle w:val="Nvel1SemNumerao"/>
        <w:ind w:left="357" w:hanging="0"/>
        <w:rPr>
          <w:rFonts w:ascii="Calibri" w:hAnsi="Calibri"/>
          <w:sz w:val="24"/>
          <w:szCs w:val="24"/>
        </w:rPr>
      </w:pPr>
      <w:r>
        <w:rPr>
          <w:rFonts w:ascii="Calibri" w:hAnsi="Calibri"/>
          <w:sz w:val="24"/>
          <w:szCs w:val="24"/>
        </w:rPr>
        <w:t>Disposições gerais sobre habilitação</w:t>
      </w:r>
    </w:p>
    <w:p>
      <w:pPr>
        <w:pStyle w:val="Nvel02"/>
        <w:numPr>
          <w:ilvl w:val="1"/>
          <w:numId w:val="4"/>
        </w:numPr>
        <w:ind w:left="0" w:hanging="0"/>
        <w:rPr>
          <w:rFonts w:ascii="Calibri" w:hAnsi="Calibri"/>
          <w:sz w:val="24"/>
          <w:szCs w:val="24"/>
        </w:rPr>
      </w:pPr>
      <w:r>
        <w:rPr>
          <w:rFonts w:ascii="Calibri" w:hAnsi="Calibri"/>
          <w:sz w:val="24"/>
          <w:szCs w:val="24"/>
        </w:rPr>
        <w:t>Quando permitida a participação de empresas estrangeiras que não funcionem no País, as exigências de habilitação serão atendidas mediante documentos equivalentes, inicialmente apresentados em tradução livre.</w:t>
      </w:r>
    </w:p>
    <w:p>
      <w:pPr>
        <w:pStyle w:val="Nvel02"/>
        <w:numPr>
          <w:ilvl w:val="1"/>
          <w:numId w:val="4"/>
        </w:numPr>
        <w:ind w:left="0" w:hanging="0"/>
        <w:rPr>
          <w:rFonts w:ascii="Calibri" w:hAnsi="Calibri"/>
          <w:sz w:val="24"/>
          <w:szCs w:val="24"/>
        </w:rPr>
      </w:pPr>
      <w:r>
        <w:rPr>
          <w:rFonts w:ascii="Calibri" w:hAnsi="Calibri"/>
          <w:sz w:val="24"/>
          <w:szCs w:val="24"/>
        </w:rP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pPr>
        <w:pStyle w:val="Nvel02"/>
        <w:numPr>
          <w:ilvl w:val="1"/>
          <w:numId w:val="4"/>
        </w:numPr>
        <w:ind w:left="0" w:hanging="0"/>
        <w:rPr>
          <w:rFonts w:ascii="Calibri" w:hAnsi="Calibri"/>
          <w:sz w:val="24"/>
          <w:szCs w:val="24"/>
        </w:rPr>
      </w:pPr>
      <w:r>
        <w:rPr>
          <w:rFonts w:ascii="Calibri" w:hAnsi="Calibri"/>
          <w:sz w:val="24"/>
          <w:szCs w:val="24"/>
        </w:rPr>
        <w:t>Não serão aceitos documentos de habilitação com indicação de CNPJ/CPF diferentes, salvo aqueles legalmente permitidos.</w:t>
      </w:r>
    </w:p>
    <w:p>
      <w:pPr>
        <w:pStyle w:val="Nvel02"/>
        <w:numPr>
          <w:ilvl w:val="1"/>
          <w:numId w:val="4"/>
        </w:numPr>
        <w:ind w:left="0" w:hanging="0"/>
        <w:rPr>
          <w:rFonts w:ascii="Calibri" w:hAnsi="Calibri"/>
          <w:sz w:val="24"/>
          <w:szCs w:val="24"/>
        </w:rPr>
      </w:pPr>
      <w:r>
        <w:rPr>
          <w:rFonts w:ascii="Calibri" w:hAnsi="Calibri"/>
          <w:sz w:val="24"/>
          <w:szCs w:val="24"/>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pPr>
        <w:pStyle w:val="Nvel02"/>
        <w:numPr>
          <w:ilvl w:val="1"/>
          <w:numId w:val="4"/>
        </w:numPr>
        <w:ind w:left="0" w:hanging="0"/>
        <w:rPr>
          <w:rFonts w:ascii="Calibri" w:hAnsi="Calibri"/>
          <w:sz w:val="24"/>
          <w:szCs w:val="24"/>
        </w:rPr>
      </w:pPr>
      <w:r>
        <w:rPr>
          <w:rFonts w:ascii="Calibri" w:hAnsi="Calibri"/>
          <w:sz w:val="24"/>
          <w:szCs w:val="24"/>
        </w:rPr>
        <w:t>Serão aceitos registros de CNPJ de fornecedor matriz e filial com diferenças de números de documentos pertinentes ao CND e ao CRF/FGTS, quando for comprovada a centralização do recolhimento dessas contribuições.</w:t>
      </w:r>
      <w:bookmarkStart w:id="30" w:name="_Hlk82473550"/>
      <w:bookmarkEnd w:id="30"/>
    </w:p>
    <w:p>
      <w:pPr>
        <w:pStyle w:val="Nivel01"/>
        <w:numPr>
          <w:ilvl w:val="0"/>
          <w:numId w:val="4"/>
        </w:numPr>
        <w:ind w:left="357" w:hanging="357"/>
        <w:rPr>
          <w:rFonts w:ascii="Calibri" w:hAnsi="Calibri"/>
          <w:sz w:val="24"/>
          <w:szCs w:val="24"/>
        </w:rPr>
      </w:pPr>
      <w:commentRangeStart w:id="47"/>
      <w:r>
        <w:rPr>
          <w:rFonts w:ascii="Calibri" w:hAnsi="Calibri"/>
          <w:sz w:val="24"/>
          <w:szCs w:val="24"/>
        </w:rPr>
        <w:t xml:space="preserve">ESTIMATIVAS DO VALOR DA </w:t>
      </w:r>
      <w:commentRangeStart w:id="48"/>
      <w:r>
        <w:rPr>
          <w:rFonts w:ascii="Calibri" w:hAnsi="Calibri"/>
          <w:sz w:val="24"/>
          <w:szCs w:val="24"/>
        </w:rPr>
        <w:t>CONTRATAÇÃO</w:t>
      </w:r>
      <w:r>
        <w:rPr>
          <w:rFonts w:ascii="Calibri" w:hAnsi="Calibri"/>
          <w:sz w:val="24"/>
          <w:szCs w:val="24"/>
        </w:rPr>
      </w:r>
      <w:commentRangeEnd w:id="47"/>
      <w:r>
        <w:commentReference w:id="47"/>
      </w:r>
      <w:commentRangeEnd w:id="48"/>
      <w:r>
        <w:commentReference w:id="48"/>
      </w:r>
      <w:r>
        <w:rPr>
          <w:rFonts w:ascii="Calibri" w:hAnsi="Calibri"/>
          <w:sz w:val="24"/>
          <w:szCs w:val="24"/>
        </w:rPr>
      </w:r>
    </w:p>
    <w:p>
      <w:pPr>
        <w:pStyle w:val="Nvel2Opcional1"/>
        <w:widowControl/>
        <w:numPr>
          <w:ilvl w:val="1"/>
          <w:numId w:val="4"/>
        </w:numPr>
        <w:shd w:val="clear" w:color="auto" w:fill="auto"/>
        <w:bidi w:val="0"/>
        <w:spacing w:lineRule="auto" w:line="276" w:before="120" w:after="120"/>
        <w:ind w:left="454" w:right="0" w:hanging="454"/>
        <w:jc w:val="both"/>
        <w:rPr>
          <w:rFonts w:ascii="Calibri" w:hAnsi="Calibri"/>
          <w:i w:val="false"/>
          <w:i w:val="false"/>
          <w:iCs w:val="false"/>
          <w:color w:val="auto"/>
          <w:sz w:val="24"/>
          <w:szCs w:val="24"/>
        </w:rPr>
      </w:pPr>
      <w:r>
        <w:rPr>
          <w:rFonts w:ascii="Calibri" w:hAnsi="Calibri"/>
          <w:i w:val="false"/>
          <w:iCs w:val="false"/>
          <w:color w:val="auto"/>
          <w:sz w:val="24"/>
          <w:szCs w:val="24"/>
        </w:rPr>
        <w:t>O</w:t>
      </w:r>
      <w:r>
        <w:rPr>
          <w:rFonts w:eastAsia="Arial" w:cs="Arial" w:ascii="Calibri" w:hAnsi="Calibri"/>
          <w:i w:val="false"/>
          <w:iCs w:val="false"/>
          <w:color w:val="auto"/>
          <w:sz w:val="24"/>
          <w:szCs w:val="24"/>
          <w:lang w:eastAsia="pt-BR"/>
        </w:rPr>
        <w:t xml:space="preserve"> custo estimado total da contratação, que corresponde ao valor máximo aceitável, é de R$ 5.324.454,96, conforme custos unitários apostos na </w:t>
      </w:r>
      <w:r>
        <w:rPr>
          <w:rFonts w:eastAsia="Arial" w:cs="Arial" w:ascii="Calibri" w:hAnsi="Calibri"/>
          <w:b/>
          <w:bCs/>
          <w:i w:val="false"/>
          <w:iCs w:val="false"/>
          <w:color w:val="auto"/>
          <w:sz w:val="24"/>
          <w:szCs w:val="24"/>
          <w:lang w:eastAsia="pt-BR"/>
        </w:rPr>
        <w:t>t</w:t>
      </w:r>
      <w:r>
        <w:rPr>
          <w:rFonts w:eastAsia="Arial" w:cs="Arial" w:ascii="Calibri" w:hAnsi="Calibri"/>
          <w:b w:val="false"/>
          <w:bCs w:val="false"/>
          <w:i w:val="false"/>
          <w:iCs w:val="false"/>
          <w:color w:val="auto"/>
          <w:sz w:val="24"/>
          <w:szCs w:val="24"/>
          <w:lang w:eastAsia="pt-BR"/>
        </w:rPr>
        <w:t xml:space="preserve">abela contida no item </w:t>
      </w:r>
      <w:r>
        <w:rPr>
          <w:rFonts w:eastAsia="Arial" w:cs="Arial" w:ascii="Calibri" w:hAnsi="Calibri"/>
          <w:b w:val="false"/>
          <w:bCs w:val="false"/>
          <w:i w:val="false"/>
          <w:iCs w:val="false"/>
          <w:color w:val="auto"/>
          <w:sz w:val="24"/>
          <w:szCs w:val="24"/>
          <w:lang w:eastAsia="pt-BR"/>
        </w:rPr>
        <w:fldChar w:fldCharType="begin"/>
      </w:r>
      <w:r>
        <w:rPr>
          <w:sz w:val="24"/>
          <w:i w:val="false"/>
          <w:b w:val="false"/>
          <w:szCs w:val="24"/>
          <w:iCs w:val="false"/>
          <w:bCs w:val="false"/>
          <w:rFonts w:eastAsia="Arial" w:cs="Arial" w:ascii="Calibri" w:hAnsi="Calibri"/>
          <w:color w:val="auto"/>
          <w:lang w:eastAsia="pt-BR"/>
        </w:rPr>
        <w:instrText> REF _Ref172096041 \r \h </w:instrText>
      </w:r>
      <w:r>
        <w:rPr>
          <w:sz w:val="24"/>
          <w:i w:val="false"/>
          <w:b w:val="false"/>
          <w:szCs w:val="24"/>
          <w:iCs w:val="false"/>
          <w:bCs w:val="false"/>
          <w:rFonts w:eastAsia="Arial" w:cs="Arial" w:ascii="Calibri" w:hAnsi="Calibri"/>
          <w:color w:val="auto"/>
          <w:lang w:eastAsia="pt-BR"/>
        </w:rPr>
        <w:fldChar w:fldCharType="separate"/>
      </w:r>
      <w:r>
        <w:rPr>
          <w:sz w:val="24"/>
          <w:i w:val="false"/>
          <w:b w:val="false"/>
          <w:szCs w:val="24"/>
          <w:iCs w:val="false"/>
          <w:bCs w:val="false"/>
          <w:rFonts w:eastAsia="Arial" w:cs="Arial" w:ascii="Calibri" w:hAnsi="Calibri"/>
          <w:color w:val="auto"/>
          <w:lang w:eastAsia="pt-BR"/>
        </w:rPr>
        <w:t>1.1.</w:t>
      </w:r>
      <w:r>
        <w:rPr>
          <w:sz w:val="24"/>
          <w:i w:val="false"/>
          <w:b w:val="false"/>
          <w:szCs w:val="24"/>
          <w:iCs w:val="false"/>
          <w:bCs w:val="false"/>
          <w:rFonts w:eastAsia="Arial" w:cs="Arial" w:ascii="Calibri" w:hAnsi="Calibri"/>
          <w:color w:val="auto"/>
          <w:lang w:eastAsia="pt-BR"/>
        </w:rPr>
        <w:fldChar w:fldCharType="end"/>
      </w:r>
      <w:r>
        <w:rPr>
          <w:rFonts w:eastAsia="Arial" w:cs="Arial" w:ascii="Calibri" w:hAnsi="Calibri"/>
          <w:b w:val="false"/>
          <w:bCs w:val="false"/>
          <w:i w:val="false"/>
          <w:iCs w:val="false"/>
          <w:color w:val="auto"/>
          <w:sz w:val="24"/>
          <w:szCs w:val="24"/>
          <w:lang w:eastAsia="pt-BR"/>
        </w:rPr>
        <w:t xml:space="preserve"> acima.</w:t>
      </w:r>
    </w:p>
    <w:p>
      <w:pPr>
        <w:pStyle w:val="Nvel2Opcional1"/>
        <w:widowControl/>
        <w:numPr>
          <w:ilvl w:val="1"/>
          <w:numId w:val="4"/>
        </w:numPr>
        <w:shd w:val="clear" w:color="auto" w:fill="auto"/>
        <w:bidi w:val="0"/>
        <w:spacing w:lineRule="auto" w:line="276" w:before="120" w:after="120"/>
        <w:ind w:left="850" w:right="0" w:hanging="454"/>
        <w:jc w:val="both"/>
        <w:rPr>
          <w:rFonts w:ascii="Calibri" w:hAnsi="Calibri"/>
          <w:i w:val="false"/>
          <w:i w:val="false"/>
          <w:iCs w:val="false"/>
          <w:color w:val="auto"/>
          <w:sz w:val="24"/>
          <w:szCs w:val="24"/>
        </w:rPr>
      </w:pPr>
      <w:commentRangeStart w:id="49"/>
      <w:r>
        <w:rPr>
          <w:rFonts w:ascii="Calibri" w:hAnsi="Calibri"/>
          <w:i w:val="false"/>
          <w:iCs w:val="false"/>
          <w:color w:val="auto"/>
          <w:sz w:val="24"/>
          <w:szCs w:val="24"/>
        </w:rPr>
        <w:t>A estimativa de custo levou em consideração o risco envolvido na contratação e sua alocação entre Contratante e Contratado, conforme especificado na matriz de risco constante do Contrato.</w:t>
      </w:r>
      <w:commentRangeEnd w:id="49"/>
      <w:r>
        <w:commentReference w:id="49"/>
      </w:r>
      <w:r>
        <w:rPr>
          <w:rFonts w:ascii="Calibri" w:hAnsi="Calibri"/>
          <w:i w:val="false"/>
          <w:iCs w:val="false"/>
          <w:color w:val="auto"/>
          <w:sz w:val="24"/>
          <w:szCs w:val="24"/>
        </w:rPr>
      </w:r>
    </w:p>
    <w:p>
      <w:pPr>
        <w:pStyle w:val="Nvel2Opcional1"/>
        <w:widowControl/>
        <w:numPr>
          <w:ilvl w:val="1"/>
          <w:numId w:val="4"/>
        </w:numPr>
        <w:shd w:val="clear" w:color="auto" w:fill="auto"/>
        <w:bidi w:val="0"/>
        <w:spacing w:lineRule="auto" w:line="276" w:before="120" w:after="120"/>
        <w:ind w:left="907" w:right="0" w:hanging="454"/>
        <w:jc w:val="both"/>
        <w:rPr>
          <w:rFonts w:ascii="Calibri" w:hAnsi="Calibri"/>
          <w:i w:val="false"/>
          <w:i w:val="false"/>
          <w:iCs w:val="false"/>
          <w:color w:val="auto"/>
          <w:sz w:val="24"/>
          <w:szCs w:val="24"/>
          <w:highlight w:val="none"/>
          <w:shd w:fill="auto" w:val="clear"/>
        </w:rPr>
      </w:pPr>
      <w:r>
        <w:rPr>
          <w:rFonts w:ascii="Calibri" w:hAnsi="Calibri"/>
          <w:i w:val="false"/>
          <w:iCs w:val="false"/>
          <w:color w:val="000000"/>
          <w:sz w:val="24"/>
          <w:szCs w:val="24"/>
          <w:shd w:fill="auto" w:val="clear"/>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pPr>
        <w:pStyle w:val="Nvel3Opcional1"/>
        <w:numPr>
          <w:ilvl w:val="2"/>
          <w:numId w:val="111"/>
        </w:numPr>
        <w:ind w:left="284" w:hanging="0"/>
        <w:rPr>
          <w:rFonts w:ascii="Calibri" w:hAnsi="Calibri"/>
          <w:i w:val="false"/>
          <w:i w:val="false"/>
          <w:iCs w:val="false"/>
          <w:color w:val="auto"/>
          <w:sz w:val="24"/>
          <w:szCs w:val="24"/>
          <w:highlight w:val="none"/>
          <w:shd w:fill="auto" w:val="clear"/>
        </w:rPr>
      </w:pPr>
      <w:r>
        <w:rPr>
          <w:rFonts w:ascii="Calibri" w:hAnsi="Calibri"/>
          <w:i w:val="false"/>
          <w:iCs w:val="false"/>
          <w:color w:val="000000"/>
          <w:sz w:val="24"/>
          <w:szCs w:val="24"/>
          <w:shd w:fill="auto" w:val="clear"/>
        </w:rPr>
        <w:t>em caso de força maior, caso fortuito ou fato do príncipe ou em decorrência de fatos imprevisíveis ou previsíveis de consequências incalculáveis, que inviabilizem a execução da ata tal como pactuada, nos termos do disposto na alínea “d” do inciso II do capu</w:t>
      </w:r>
      <w:r>
        <w:rPr>
          <w:rFonts w:ascii="Calibri" w:hAnsi="Calibri"/>
          <w:b/>
          <w:i w:val="false"/>
          <w:iCs w:val="false"/>
          <w:color w:val="000000"/>
          <w:sz w:val="24"/>
          <w:szCs w:val="24"/>
          <w:shd w:fill="auto" w:val="clear"/>
        </w:rPr>
        <w:t>t</w:t>
      </w:r>
      <w:r>
        <w:rPr>
          <w:rFonts w:ascii="Calibri" w:hAnsi="Calibri"/>
          <w:i w:val="false"/>
          <w:iCs w:val="false"/>
          <w:color w:val="000000"/>
          <w:sz w:val="24"/>
          <w:szCs w:val="24"/>
          <w:shd w:fill="auto" w:val="clear"/>
        </w:rPr>
        <w:t xml:space="preserve"> do art. 124 da Lei nº 14.133, de 2021;</w:t>
      </w:r>
    </w:p>
    <w:p>
      <w:pPr>
        <w:pStyle w:val="Nivel3"/>
        <w:numPr>
          <w:ilvl w:val="2"/>
          <w:numId w:val="112"/>
        </w:numPr>
        <w:ind w:left="284" w:hanging="0"/>
        <w:rPr>
          <w:rFonts w:ascii="Calibri" w:hAnsi="Calibri"/>
          <w:i w:val="false"/>
          <w:i w:val="false"/>
          <w:iCs w:val="false"/>
          <w:color w:val="auto"/>
          <w:sz w:val="24"/>
          <w:szCs w:val="24"/>
          <w:highlight w:val="none"/>
          <w:shd w:fill="auto" w:val="clear"/>
        </w:rPr>
      </w:pPr>
      <w:r>
        <w:rPr>
          <w:rFonts w:ascii="Calibri" w:hAnsi="Calibri"/>
          <w:i w:val="false"/>
          <w:iCs w:val="false"/>
          <w:color w:val="000000"/>
          <w:sz w:val="24"/>
          <w:szCs w:val="24"/>
          <w:shd w:fill="auto" w:val="clear"/>
        </w:rPr>
        <w:t>em caso de criação, alteração ou extinção de quaisquer tributos ou encargos legais ou superveniência de disposições legais, com comprovada repercussão sobre os preços registrados;</w:t>
      </w:r>
    </w:p>
    <w:p>
      <w:pPr>
        <w:pStyle w:val="Nivel3"/>
        <w:numPr>
          <w:ilvl w:val="2"/>
          <w:numId w:val="113"/>
        </w:numPr>
        <w:ind w:left="284" w:hanging="0"/>
        <w:rPr>
          <w:rFonts w:ascii="Calibri" w:hAnsi="Calibri"/>
          <w:i w:val="false"/>
          <w:i w:val="false"/>
          <w:iCs w:val="false"/>
          <w:color w:val="auto"/>
          <w:sz w:val="24"/>
          <w:szCs w:val="24"/>
          <w:highlight w:val="none"/>
          <w:shd w:fill="auto" w:val="clear"/>
        </w:rPr>
      </w:pPr>
      <w:r>
        <w:rPr>
          <w:rFonts w:ascii="Calibri" w:hAnsi="Calibri"/>
          <w:i w:val="false"/>
          <w:iCs w:val="false"/>
          <w:color w:val="000000"/>
          <w:sz w:val="24"/>
          <w:szCs w:val="24"/>
          <w:shd w:fill="auto" w:val="clear"/>
        </w:rPr>
        <w:t>serão reajustados os preços registrados, respeitada a contagem da anualidade e o índice previsto para a contratação; ou</w:t>
      </w:r>
    </w:p>
    <w:p>
      <w:pPr>
        <w:pStyle w:val="Nivel3"/>
        <w:numPr>
          <w:ilvl w:val="2"/>
          <w:numId w:val="114"/>
        </w:numPr>
        <w:ind w:left="284" w:hanging="0"/>
        <w:rPr>
          <w:rFonts w:ascii="Calibri" w:hAnsi="Calibri"/>
          <w:i w:val="false"/>
          <w:i w:val="false"/>
          <w:iCs w:val="false"/>
          <w:color w:val="auto"/>
          <w:sz w:val="24"/>
          <w:szCs w:val="24"/>
          <w:highlight w:val="none"/>
          <w:shd w:fill="auto" w:val="clear"/>
        </w:rPr>
      </w:pPr>
      <w:r>
        <w:rPr>
          <w:rFonts w:ascii="Calibri" w:hAnsi="Calibri"/>
          <w:i w:val="false"/>
          <w:iCs w:val="false"/>
          <w:color w:val="000000"/>
          <w:sz w:val="24"/>
          <w:szCs w:val="24"/>
          <w:shd w:fill="auto" w:val="clear"/>
        </w:rPr>
        <w:t>poderão ser repactuados, a pedido do interessado, conforme critérios definidos para a contratação.</w:t>
      </w:r>
    </w:p>
    <w:p>
      <w:pPr>
        <w:pStyle w:val="Nivel01"/>
        <w:numPr>
          <w:ilvl w:val="0"/>
          <w:numId w:val="4"/>
        </w:numPr>
        <w:ind w:left="357" w:hanging="357"/>
        <w:rPr>
          <w:rFonts w:ascii="Calibri" w:hAnsi="Calibri"/>
          <w:sz w:val="24"/>
          <w:szCs w:val="24"/>
        </w:rPr>
      </w:pPr>
      <w:r>
        <w:rPr>
          <w:rFonts w:ascii="Calibri" w:hAnsi="Calibri"/>
          <w:sz w:val="24"/>
          <w:szCs w:val="24"/>
        </w:rPr>
        <w:t>ADEQUAÇÃO ORÇAMENTÁRIA</w:t>
      </w:r>
    </w:p>
    <w:p>
      <w:pPr>
        <w:pStyle w:val="Nvel2Opcional1"/>
        <w:widowControl/>
        <w:numPr>
          <w:ilvl w:val="1"/>
          <w:numId w:val="4"/>
        </w:numPr>
        <w:shd w:val="clear" w:color="auto" w:fill="auto"/>
        <w:bidi w:val="0"/>
        <w:spacing w:lineRule="auto" w:line="276" w:before="120" w:after="120"/>
        <w:ind w:left="737" w:right="0" w:hanging="454"/>
        <w:jc w:val="both"/>
        <w:rPr>
          <w:rFonts w:ascii="Calibri" w:hAnsi="Calibri"/>
          <w:i w:val="false"/>
          <w:i w:val="false"/>
          <w:iCs w:val="false"/>
          <w:color w:val="auto"/>
          <w:sz w:val="24"/>
          <w:szCs w:val="24"/>
          <w:highlight w:val="none"/>
          <w:shd w:fill="auto" w:val="clear"/>
        </w:rPr>
      </w:pPr>
      <w:r>
        <w:rPr>
          <w:rFonts w:ascii="Calibri" w:hAnsi="Calibri"/>
          <w:i w:val="false"/>
          <w:iCs w:val="false"/>
          <w:color w:val="000000"/>
          <w:sz w:val="24"/>
          <w:szCs w:val="24"/>
          <w:shd w:fill="auto" w:val="clear"/>
        </w:rPr>
        <w:t xml:space="preserve">A indicação da dotação orçamentária fica postergada para o momento da assinatura do contrato ou instrumento </w:t>
      </w:r>
      <w:commentRangeStart w:id="50"/>
      <w:r>
        <w:rPr>
          <w:rFonts w:ascii="Calibri" w:hAnsi="Calibri"/>
          <w:i w:val="false"/>
          <w:iCs w:val="false"/>
          <w:color w:val="000000"/>
          <w:sz w:val="24"/>
          <w:szCs w:val="24"/>
          <w:shd w:fill="auto" w:val="clear"/>
        </w:rPr>
        <w:t>equivalente</w:t>
      </w:r>
      <w:r>
        <w:rPr>
          <w:rFonts w:ascii="Calibri" w:hAnsi="Calibri"/>
          <w:i w:val="false"/>
          <w:iCs w:val="false"/>
          <w:color w:val="000000"/>
          <w:sz w:val="24"/>
          <w:szCs w:val="24"/>
          <w:shd w:fill="auto" w:val="clear"/>
        </w:rPr>
      </w:r>
      <w:commentRangeEnd w:id="50"/>
      <w:r>
        <w:commentReference w:id="50"/>
      </w:r>
      <w:r>
        <w:rPr>
          <w:rFonts w:ascii="Calibri" w:hAnsi="Calibri"/>
          <w:i w:val="false"/>
          <w:iCs w:val="false"/>
          <w:color w:val="000000"/>
          <w:sz w:val="24"/>
          <w:szCs w:val="24"/>
          <w:shd w:fill="auto" w:val="clear"/>
        </w:rPr>
        <w:t>.</w:t>
      </w:r>
    </w:p>
    <w:p>
      <w:pPr>
        <w:pStyle w:val="Nivel01"/>
        <w:numPr>
          <w:ilvl w:val="0"/>
          <w:numId w:val="4"/>
        </w:numPr>
        <w:ind w:left="357" w:hanging="357"/>
        <w:rPr/>
      </w:pPr>
      <w:r>
        <w:rPr>
          <w:rFonts w:ascii="Calibri" w:hAnsi="Calibri"/>
          <w:sz w:val="24"/>
          <w:szCs w:val="24"/>
        </w:rPr>
        <w:t>DISPOSIÇÕES FINAIS</w:t>
      </w:r>
    </w:p>
    <w:p>
      <w:pPr>
        <w:pStyle w:val="Nvel02"/>
        <w:numPr>
          <w:ilvl w:val="1"/>
          <w:numId w:val="4"/>
        </w:numPr>
        <w:ind w:left="0" w:hanging="0"/>
        <w:rPr>
          <w:rFonts w:ascii="Calibri" w:hAnsi="Calibri"/>
          <w:sz w:val="24"/>
          <w:szCs w:val="24"/>
        </w:rPr>
      </w:pPr>
      <w:r>
        <w:rPr>
          <w:rFonts w:ascii="Calibri" w:hAnsi="Calibri"/>
          <w:sz w:val="24"/>
          <w:szCs w:val="24"/>
        </w:rPr>
        <w:t>As informações contidas neste Termo de Referência não são classificadas com</w:t>
      </w:r>
      <w:r>
        <w:rPr>
          <w:rFonts w:eastAsia="Arial" w:cs="Arial" w:ascii="Calibri" w:hAnsi="Calibri"/>
          <w:i w:val="false"/>
          <w:iCs/>
          <w:color w:val="auto"/>
          <w:sz w:val="24"/>
          <w:szCs w:val="24"/>
          <w:lang w:eastAsia="pt-BR"/>
        </w:rPr>
        <w:t>o</w:t>
      </w:r>
      <w:r>
        <w:rPr>
          <w:rFonts w:eastAsia="Arial" w:cs="Arial" w:ascii="Calibri" w:hAnsi="Calibri"/>
          <w:i w:val="false"/>
          <w:iCs/>
          <w:color w:val="000000"/>
          <w:sz w:val="24"/>
          <w:szCs w:val="24"/>
          <w:shd w:fill="auto" w:val="clear"/>
          <w:lang w:eastAsia="pt-BR"/>
        </w:rPr>
        <w:t xml:space="preserve"> sigilosas</w:t>
      </w:r>
      <w:bookmarkStart w:id="31" w:name="_Hlk82471863"/>
      <w:bookmarkEnd w:id="31"/>
      <w:r>
        <w:rPr>
          <w:rFonts w:eastAsia="Arial" w:cs="Arial" w:ascii="Calibri" w:hAnsi="Calibri"/>
          <w:i w:val="false"/>
          <w:iCs/>
          <w:color w:val="000000"/>
          <w:sz w:val="24"/>
          <w:szCs w:val="24"/>
          <w:shd w:fill="auto" w:val="clear"/>
          <w:lang w:eastAsia="pt-BR"/>
        </w:rPr>
        <w:t>.</w:t>
      </w:r>
    </w:p>
    <w:p>
      <w:pPr>
        <w:pStyle w:val="Nvel02"/>
        <w:numPr>
          <w:ilvl w:val="0"/>
          <w:numId w:val="4"/>
        </w:numPr>
        <w:ind w:left="0" w:right="0" w:hanging="0"/>
        <w:rPr>
          <w:rFonts w:ascii="Calibri" w:hAnsi="Calibri" w:eastAsia="Arial" w:cs="Arial"/>
          <w:b/>
          <w:b/>
          <w:i w:val="false"/>
          <w:i w:val="false"/>
          <w:iCs/>
          <w:color w:val="000000"/>
          <w:kern w:val="0"/>
          <w:sz w:val="24"/>
          <w:szCs w:val="24"/>
          <w:shd w:fill="auto" w:val="clear"/>
          <w:lang w:val="pt-BR" w:eastAsia="pt-BR" w:bidi="ar-SA"/>
        </w:rPr>
      </w:pPr>
      <w:r>
        <w:rPr>
          <w:rFonts w:eastAsia="Arial" w:cs="Arial" w:ascii="Calibri" w:hAnsi="Calibri"/>
          <w:b/>
          <w:i w:val="false"/>
          <w:iCs/>
          <w:color w:val="000000"/>
          <w:kern w:val="0"/>
          <w:sz w:val="24"/>
          <w:szCs w:val="24"/>
          <w:shd w:fill="auto" w:val="clear"/>
          <w:lang w:val="pt-BR" w:eastAsia="pt-BR" w:bidi="ar-SA"/>
        </w:rPr>
        <w:t>DOS ANEXOS</w:t>
      </w:r>
    </w:p>
    <w:p>
      <w:pPr>
        <w:pStyle w:val="Nvel02"/>
        <w:numPr>
          <w:ilvl w:val="1"/>
          <w:numId w:val="4"/>
        </w:numPr>
        <w:ind w:left="0" w:right="0" w:hanging="0"/>
        <w:rPr>
          <w:highlight w:val="none"/>
        </w:rPr>
      </w:pPr>
      <w:r>
        <w:rPr>
          <w:rFonts w:eastAsia="Arial" w:cs="Arial" w:ascii="Calibri" w:hAnsi="Calibri"/>
          <w:b w:val="false"/>
          <w:bCs w:val="false"/>
          <w:i w:val="false"/>
          <w:iCs/>
          <w:color w:val="000000"/>
          <w:kern w:val="0"/>
          <w:sz w:val="24"/>
          <w:szCs w:val="24"/>
          <w:shd w:fill="auto" w:val="clear"/>
          <w:lang w:val="pt-BR" w:eastAsia="pt-BR" w:bidi="ar-SA"/>
        </w:rPr>
        <w:t>São anexos deste Termo de Referência:</w:t>
      </w:r>
    </w:p>
    <w:p>
      <w:pPr>
        <w:pStyle w:val="Nvel02"/>
        <w:numPr>
          <w:ilvl w:val="2"/>
          <w:numId w:val="4"/>
        </w:numPr>
        <w:ind w:left="0" w:right="0" w:hanging="0"/>
        <w:rPr>
          <w:rFonts w:ascii="Calibri" w:hAnsi="Calibri" w:eastAsia="Arial" w:cs="Arial"/>
          <w:b w:val="false"/>
          <w:b w:val="false"/>
          <w:bCs w:val="false"/>
          <w:i w:val="false"/>
          <w:i w:val="false"/>
          <w:iCs/>
          <w:color w:val="auto"/>
          <w:kern w:val="0"/>
          <w:sz w:val="24"/>
          <w:szCs w:val="24"/>
          <w:shd w:fill="auto" w:val="clear"/>
          <w:lang w:val="pt-BR" w:eastAsia="pt-BR" w:bidi="ar-SA"/>
        </w:rPr>
      </w:pPr>
      <w:r>
        <w:rPr>
          <w:rFonts w:eastAsia="Arial" w:cs="Arial" w:ascii="Calibri" w:hAnsi="Calibri"/>
          <w:b w:val="false"/>
          <w:bCs w:val="false"/>
          <w:i w:val="false"/>
          <w:iCs/>
          <w:color w:val="000000"/>
          <w:kern w:val="0"/>
          <w:sz w:val="24"/>
          <w:szCs w:val="24"/>
          <w:shd w:fill="auto" w:val="clear"/>
          <w:lang w:val="pt-BR" w:eastAsia="pt-BR" w:bidi="ar-SA"/>
        </w:rPr>
        <w:t>Anexo I – Termo de Ciência e Concordância;</w:t>
      </w:r>
    </w:p>
    <w:p>
      <w:pPr>
        <w:pStyle w:val="Nvel02"/>
        <w:numPr>
          <w:ilvl w:val="2"/>
          <w:numId w:val="4"/>
        </w:numPr>
        <w:ind w:left="0" w:right="0" w:hanging="0"/>
        <w:rPr>
          <w:rFonts w:ascii="Calibri" w:hAnsi="Calibri" w:eastAsia="Arial" w:cs="Arial"/>
          <w:b w:val="false"/>
          <w:b w:val="false"/>
          <w:bCs w:val="false"/>
          <w:i w:val="false"/>
          <w:i w:val="false"/>
          <w:iCs/>
          <w:color w:val="auto"/>
          <w:kern w:val="0"/>
          <w:sz w:val="24"/>
          <w:szCs w:val="24"/>
          <w:shd w:fill="auto" w:val="clear"/>
          <w:lang w:val="pt-BR" w:eastAsia="pt-BR" w:bidi="ar-SA"/>
        </w:rPr>
      </w:pPr>
      <w:r>
        <w:rPr>
          <w:rFonts w:eastAsia="Arial" w:cs="Arial" w:ascii="Calibri" w:hAnsi="Calibri"/>
          <w:b w:val="false"/>
          <w:bCs w:val="false"/>
          <w:i w:val="false"/>
          <w:iCs/>
          <w:color w:val="000000"/>
          <w:kern w:val="0"/>
          <w:sz w:val="24"/>
          <w:szCs w:val="24"/>
          <w:shd w:fill="auto" w:val="clear"/>
          <w:lang w:val="pt-BR" w:eastAsia="pt-BR" w:bidi="ar-SA"/>
        </w:rPr>
        <w:t>Anexo II – Estudo Técnico preliminar; e</w:t>
      </w:r>
    </w:p>
    <w:p>
      <w:pPr>
        <w:pStyle w:val="Nvel02"/>
        <w:numPr>
          <w:ilvl w:val="2"/>
          <w:numId w:val="4"/>
        </w:numPr>
        <w:ind w:left="0" w:right="0" w:hanging="0"/>
        <w:rPr>
          <w:rFonts w:ascii="Calibri" w:hAnsi="Calibri" w:eastAsia="Arial" w:cs="Arial"/>
          <w:b w:val="false"/>
          <w:b w:val="false"/>
          <w:bCs w:val="false"/>
          <w:i w:val="false"/>
          <w:i w:val="false"/>
          <w:iCs/>
          <w:color w:val="auto"/>
          <w:kern w:val="0"/>
          <w:sz w:val="24"/>
          <w:szCs w:val="24"/>
          <w:shd w:fill="auto" w:val="clear"/>
          <w:lang w:val="pt-BR" w:eastAsia="pt-BR" w:bidi="ar-SA"/>
        </w:rPr>
      </w:pPr>
      <w:r>
        <w:rPr>
          <w:rFonts w:eastAsia="Arial" w:cs="Arial" w:ascii="Calibri" w:hAnsi="Calibri"/>
          <w:b w:val="false"/>
          <w:bCs w:val="false"/>
          <w:i w:val="false"/>
          <w:iCs/>
          <w:color w:val="000000"/>
          <w:kern w:val="0"/>
          <w:sz w:val="24"/>
          <w:szCs w:val="24"/>
          <w:shd w:fill="auto" w:val="clear"/>
          <w:lang w:val="pt-BR" w:eastAsia="pt-BR" w:bidi="ar-SA"/>
        </w:rPr>
        <w:t>Anexo III – Especificações e requisitos mínimos das embarcações.</w:t>
      </w:r>
    </w:p>
    <w:p>
      <w:pPr>
        <w:pStyle w:val="Nvel02"/>
        <w:numPr>
          <w:ilvl w:val="0"/>
          <w:numId w:val="0"/>
        </w:numPr>
        <w:ind w:left="0" w:right="0" w:hanging="0"/>
        <w:rPr>
          <w:rFonts w:ascii="Calibri" w:hAnsi="Calibri" w:eastAsia="Arial" w:cs="Arial"/>
          <w:b w:val="false"/>
          <w:b w:val="false"/>
          <w:bCs w:val="false"/>
          <w:i w:val="false"/>
          <w:i w:val="false"/>
          <w:iCs/>
          <w:color w:val="auto"/>
          <w:kern w:val="0"/>
          <w:sz w:val="24"/>
          <w:szCs w:val="24"/>
          <w:shd w:fill="auto" w:val="clear"/>
          <w:lang w:val="pt-BR" w:eastAsia="pt-BR" w:bidi="ar-SA"/>
        </w:rPr>
      </w:pPr>
      <w:r>
        <w:rPr>
          <w:rFonts w:eastAsia="Arial" w:cs="Arial" w:ascii="Calibri" w:hAnsi="Calibri"/>
          <w:b w:val="false"/>
          <w:bCs w:val="false"/>
          <w:i w:val="false"/>
          <w:iCs/>
          <w:color w:val="000000"/>
          <w:kern w:val="0"/>
          <w:sz w:val="24"/>
          <w:szCs w:val="24"/>
          <w:shd w:fill="auto" w:val="clear"/>
          <w:lang w:val="pt-BR" w:eastAsia="pt-BR" w:bidi="ar-SA"/>
        </w:rPr>
      </w:r>
    </w:p>
    <w:p>
      <w:pPr>
        <w:pStyle w:val="Nvel02"/>
        <w:numPr>
          <w:ilvl w:val="0"/>
          <w:numId w:val="0"/>
        </w:numPr>
        <w:ind w:left="0" w:right="0" w:hanging="0"/>
        <w:rPr>
          <w:rFonts w:ascii="Calibri" w:hAnsi="Calibri" w:eastAsia="Arial" w:cs="Arial"/>
          <w:b w:val="false"/>
          <w:b w:val="false"/>
          <w:bCs w:val="false"/>
          <w:i w:val="false"/>
          <w:i w:val="false"/>
          <w:iCs/>
          <w:color w:val="auto"/>
          <w:kern w:val="0"/>
          <w:sz w:val="24"/>
          <w:szCs w:val="24"/>
          <w:shd w:fill="auto" w:val="clear"/>
          <w:lang w:val="pt-BR" w:eastAsia="pt-BR" w:bidi="ar-SA"/>
        </w:rPr>
      </w:pPr>
      <w:r>
        <w:rPr>
          <w:rFonts w:eastAsia="Arial" w:cs="Arial" w:ascii="Calibri" w:hAnsi="Calibri"/>
          <w:b w:val="false"/>
          <w:bCs w:val="false"/>
          <w:i w:val="false"/>
          <w:iCs/>
          <w:color w:val="000000"/>
          <w:kern w:val="0"/>
          <w:sz w:val="24"/>
          <w:szCs w:val="24"/>
          <w:shd w:fill="auto" w:val="clear"/>
          <w:lang w:val="pt-BR" w:eastAsia="pt-BR" w:bidi="ar-SA"/>
        </w:rPr>
      </w:r>
    </w:p>
    <w:p>
      <w:pPr>
        <w:pStyle w:val="Nvel2Opcional1"/>
        <w:numPr>
          <w:ilvl w:val="0"/>
          <w:numId w:val="0"/>
        </w:numPr>
        <w:ind w:left="709" w:hanging="0"/>
        <w:rPr>
          <w:rFonts w:ascii="Calibri" w:hAnsi="Calibri" w:eastAsia="Arial" w:cs="Arial"/>
          <w:b w:val="false"/>
          <w:b w:val="false"/>
          <w:bCs w:val="false"/>
          <w:i w:val="false"/>
          <w:i w:val="false"/>
          <w:iCs/>
          <w:color w:val="auto"/>
          <w:sz w:val="24"/>
          <w:szCs w:val="24"/>
          <w:lang w:eastAsia="pt-BR"/>
        </w:rPr>
      </w:pPr>
      <w:r>
        <w:rPr>
          <w:rFonts w:eastAsia="Arial" w:cs="Arial" w:ascii="Calibri" w:hAnsi="Calibri"/>
          <w:b w:val="false"/>
          <w:bCs w:val="false"/>
          <w:i w:val="false"/>
          <w:iCs/>
          <w:color w:val="auto"/>
          <w:sz w:val="24"/>
          <w:szCs w:val="24"/>
          <w:lang w:eastAsia="pt-BR"/>
        </w:rPr>
        <w:t>Belo Horizonte, MG, na data da assinatura.</w:t>
      </w:r>
    </w:p>
    <w:p>
      <w:pPr>
        <w:pStyle w:val="Nvel2Opcional1"/>
        <w:numPr>
          <w:ilvl w:val="0"/>
          <w:numId w:val="0"/>
        </w:numPr>
        <w:ind w:left="709" w:hanging="0"/>
        <w:rPr>
          <w:rFonts w:ascii="Calibri" w:hAnsi="Calibri" w:eastAsia="Arial" w:cs="Arial"/>
          <w:i w:val="false"/>
          <w:i w:val="false"/>
          <w:iCs/>
          <w:color w:val="auto"/>
          <w:sz w:val="24"/>
          <w:szCs w:val="24"/>
          <w:lang w:eastAsia="pt-BR"/>
        </w:rPr>
      </w:pPr>
      <w:r>
        <w:rPr>
          <w:rFonts w:eastAsia="Arial" w:cs="Arial" w:ascii="Calibri" w:hAnsi="Calibri"/>
          <w:i w:val="false"/>
          <w:iCs/>
          <w:color w:val="auto"/>
          <w:sz w:val="24"/>
          <w:szCs w:val="24"/>
          <w:lang w:eastAsia="pt-BR"/>
        </w:rPr>
      </w:r>
    </w:p>
    <w:p>
      <w:pPr>
        <w:pStyle w:val="Nvel2Opcional1"/>
        <w:numPr>
          <w:ilvl w:val="0"/>
          <w:numId w:val="0"/>
        </w:numPr>
        <w:ind w:left="709" w:hanging="0"/>
        <w:rPr>
          <w:rFonts w:ascii="Calibri" w:hAnsi="Calibri" w:eastAsia="Arial" w:cs="Arial"/>
          <w:b w:val="false"/>
          <w:b w:val="false"/>
          <w:bCs w:val="false"/>
          <w:i w:val="false"/>
          <w:i w:val="false"/>
          <w:iCs/>
          <w:color w:val="auto"/>
          <w:kern w:val="0"/>
          <w:sz w:val="24"/>
          <w:szCs w:val="24"/>
          <w:shd w:fill="auto" w:val="clear"/>
          <w:lang w:val="pt-BR" w:eastAsia="pt-BR" w:bidi="ar-SA"/>
        </w:rPr>
      </w:pPr>
      <w:r>
        <w:rPr>
          <w:rFonts w:eastAsia="Arial" w:cs="Arial" w:ascii="Calibri" w:hAnsi="Calibri"/>
          <w:b w:val="false"/>
          <w:bCs w:val="false"/>
          <w:i w:val="false"/>
          <w:iCs/>
          <w:color w:val="000000"/>
          <w:kern w:val="0"/>
          <w:sz w:val="24"/>
          <w:szCs w:val="24"/>
          <w:shd w:fill="auto" w:val="clear"/>
          <w:lang w:val="pt-BR" w:eastAsia="pt-BR" w:bidi="ar-SA"/>
        </w:rPr>
      </w:r>
    </w:p>
    <w:tbl>
      <w:tblPr>
        <w:tblW w:w="9638" w:type="dxa"/>
        <w:jc w:val="left"/>
        <w:tblInd w:w="65" w:type="dxa"/>
        <w:tblLayout w:type="fixed"/>
        <w:tblCellMar>
          <w:top w:w="0" w:type="dxa"/>
          <w:left w:w="0" w:type="dxa"/>
          <w:bottom w:w="0" w:type="dxa"/>
          <w:right w:w="0" w:type="dxa"/>
        </w:tblCellMar>
      </w:tblPr>
      <w:tblGrid>
        <w:gridCol w:w="4963"/>
        <w:gridCol w:w="4674"/>
      </w:tblGrid>
      <w:tr>
        <w:trPr>
          <w:trHeight w:val="1814" w:hRule="atLeast"/>
        </w:trPr>
        <w:tc>
          <w:tcPr>
            <w:tcW w:w="4963" w:type="dxa"/>
            <w:tcBorders/>
          </w:tcPr>
          <w:p>
            <w:pPr>
              <w:pStyle w:val="TableParagraph"/>
              <w:widowControl w:val="false"/>
              <w:spacing w:lineRule="exact" w:line="223"/>
              <w:ind w:left="5" w:right="220" w:hanging="0"/>
              <w:jc w:val="center"/>
              <w:rPr>
                <w:rFonts w:ascii="Calibri" w:hAnsi="Calibri" w:eastAsia="Arial" w:cs="Arial"/>
                <w:b w:val="false"/>
                <w:b w:val="false"/>
                <w:bCs w:val="false"/>
                <w:i w:val="false"/>
                <w:i w:val="false"/>
                <w:iCs/>
                <w:color w:val="auto"/>
                <w:spacing w:val="-2"/>
                <w:kern w:val="0"/>
                <w:sz w:val="24"/>
                <w:szCs w:val="24"/>
                <w:shd w:fill="auto" w:val="clear"/>
                <w:lang w:val="pt-BR" w:eastAsia="pt-BR" w:bidi="ar-SA"/>
              </w:rPr>
            </w:pPr>
            <w:r>
              <w:rPr>
                <w:rFonts w:eastAsia="Arial" w:cs="Arial" w:ascii="Calibri" w:hAnsi="Calibri"/>
                <w:b w:val="false"/>
                <w:bCs w:val="false"/>
                <w:i w:val="false"/>
                <w:iCs/>
                <w:color w:val="000000"/>
                <w:spacing w:val="-2"/>
                <w:kern w:val="0"/>
                <w:sz w:val="24"/>
                <w:szCs w:val="24"/>
                <w:shd w:fill="auto" w:val="clear"/>
                <w:lang w:val="pt-BR" w:eastAsia="pt-BR" w:bidi="ar-SA"/>
              </w:rPr>
            </w:r>
          </w:p>
          <w:p>
            <w:pPr>
              <w:pStyle w:val="TableParagraph"/>
              <w:widowControl w:val="false"/>
              <w:spacing w:lineRule="exact" w:line="223"/>
              <w:ind w:left="5" w:right="220" w:hanging="0"/>
              <w:jc w:val="center"/>
              <w:rPr>
                <w:rFonts w:ascii="Calibri" w:hAnsi="Calibri" w:eastAsia="Arial" w:cs="Arial"/>
                <w:b w:val="false"/>
                <w:b w:val="false"/>
                <w:bCs w:val="false"/>
                <w:i w:val="false"/>
                <w:i w:val="false"/>
                <w:iCs/>
                <w:color w:val="auto"/>
                <w:spacing w:val="-2"/>
                <w:kern w:val="0"/>
                <w:sz w:val="24"/>
                <w:szCs w:val="24"/>
                <w:shd w:fill="auto" w:val="clear"/>
                <w:lang w:val="pt-BR" w:eastAsia="pt-BR" w:bidi="ar-SA"/>
              </w:rPr>
            </w:pPr>
            <w:r>
              <w:rPr>
                <w:rFonts w:eastAsia="Arial" w:cs="Arial" w:ascii="Calibri" w:hAnsi="Calibri"/>
                <w:b w:val="false"/>
                <w:bCs w:val="false"/>
                <w:i w:val="false"/>
                <w:iCs/>
                <w:color w:val="000000"/>
                <w:spacing w:val="-2"/>
                <w:kern w:val="0"/>
                <w:sz w:val="24"/>
                <w:szCs w:val="24"/>
                <w:shd w:fill="auto" w:val="clear"/>
                <w:lang w:val="pt-BR" w:eastAsia="pt-BR" w:bidi="ar-SA"/>
              </w:rPr>
            </w:r>
          </w:p>
          <w:p>
            <w:pPr>
              <w:pStyle w:val="TableParagraph"/>
              <w:widowControl w:val="false"/>
              <w:spacing w:lineRule="exact" w:line="223"/>
              <w:ind w:left="5" w:right="220" w:hanging="0"/>
              <w:jc w:val="center"/>
              <w:rPr>
                <w:rFonts w:ascii="Calibri" w:hAnsi="Calibri" w:eastAsia="Arial" w:cs="Arial"/>
                <w:b w:val="false"/>
                <w:b w:val="false"/>
                <w:bCs w:val="false"/>
                <w:i w:val="false"/>
                <w:i w:val="false"/>
                <w:iCs/>
                <w:color w:val="auto"/>
                <w:spacing w:val="-2"/>
                <w:kern w:val="0"/>
                <w:sz w:val="24"/>
                <w:szCs w:val="24"/>
                <w:shd w:fill="auto" w:val="clear"/>
                <w:lang w:val="pt-BR" w:eastAsia="pt-BR" w:bidi="ar-SA"/>
              </w:rPr>
            </w:pPr>
            <w:r>
              <w:rPr>
                <w:rFonts w:eastAsia="Arial" w:cs="Arial" w:ascii="Calibri" w:hAnsi="Calibri"/>
                <w:b w:val="false"/>
                <w:bCs w:val="false"/>
                <w:i w:val="false"/>
                <w:iCs/>
                <w:color w:val="000000"/>
                <w:spacing w:val="-2"/>
                <w:kern w:val="0"/>
                <w:sz w:val="24"/>
                <w:szCs w:val="24"/>
                <w:shd w:fill="auto" w:val="clear"/>
                <w:lang w:val="pt-BR" w:eastAsia="pt-BR" w:bidi="ar-SA"/>
              </w:rPr>
            </w:r>
          </w:p>
          <w:p>
            <w:pPr>
              <w:pStyle w:val="TableParagraph"/>
              <w:widowControl w:val="false"/>
              <w:spacing w:lineRule="exact" w:line="223"/>
              <w:ind w:left="5" w:right="220" w:hanging="0"/>
              <w:jc w:val="center"/>
              <w:rPr>
                <w:rFonts w:ascii="Calibri" w:hAnsi="Calibri" w:eastAsia="Arial" w:cs="Arial"/>
                <w:b w:val="false"/>
                <w:b w:val="false"/>
                <w:bCs w:val="false"/>
                <w:i w:val="false"/>
                <w:i w:val="false"/>
                <w:iCs/>
                <w:color w:val="auto"/>
                <w:spacing w:val="-2"/>
                <w:kern w:val="0"/>
                <w:sz w:val="24"/>
                <w:szCs w:val="24"/>
                <w:shd w:fill="auto" w:val="clear"/>
                <w:lang w:val="pt-BR" w:eastAsia="pt-BR" w:bidi="ar-SA"/>
              </w:rPr>
            </w:pPr>
            <w:r>
              <w:rPr>
                <w:rFonts w:eastAsia="Arial" w:cs="Arial" w:ascii="Calibri" w:hAnsi="Calibri"/>
                <w:b w:val="false"/>
                <w:bCs w:val="false"/>
                <w:i w:val="false"/>
                <w:iCs/>
                <w:color w:val="000000"/>
                <w:spacing w:val="-2"/>
                <w:kern w:val="0"/>
                <w:sz w:val="24"/>
                <w:szCs w:val="24"/>
                <w:shd w:fill="auto" w:val="clear"/>
                <w:lang w:val="pt-BR" w:eastAsia="pt-BR" w:bidi="ar-SA"/>
              </w:rPr>
            </w:r>
          </w:p>
          <w:p>
            <w:pPr>
              <w:pStyle w:val="TableParagraph"/>
              <w:widowControl w:val="false"/>
              <w:spacing w:lineRule="exact" w:line="223"/>
              <w:ind w:left="5" w:right="220" w:hanging="0"/>
              <w:jc w:val="center"/>
              <w:rPr>
                <w:rFonts w:ascii="Calibri" w:hAnsi="Calibri" w:eastAsia="Arial" w:cs="Arial"/>
                <w:b w:val="false"/>
                <w:b w:val="false"/>
                <w:bCs w:val="false"/>
                <w:i w:val="false"/>
                <w:i w:val="false"/>
                <w:iCs/>
                <w:color w:val="auto"/>
                <w:spacing w:val="-2"/>
                <w:kern w:val="0"/>
                <w:sz w:val="24"/>
                <w:szCs w:val="24"/>
                <w:shd w:fill="auto" w:val="clear"/>
                <w:lang w:val="pt-BR" w:eastAsia="pt-BR" w:bidi="ar-SA"/>
              </w:rPr>
            </w:pPr>
            <w:r>
              <w:rPr>
                <w:rFonts w:eastAsia="Arial" w:cs="Arial" w:ascii="Calibri" w:hAnsi="Calibri"/>
                <w:b w:val="false"/>
                <w:bCs w:val="false"/>
                <w:i w:val="false"/>
                <w:iCs/>
                <w:color w:val="000000"/>
                <w:spacing w:val="-2"/>
                <w:kern w:val="0"/>
                <w:sz w:val="24"/>
                <w:szCs w:val="24"/>
                <w:shd w:fill="auto" w:val="clear"/>
                <w:lang w:val="pt-BR" w:eastAsia="pt-BR" w:bidi="ar-SA"/>
              </w:rPr>
            </w:r>
          </w:p>
          <w:p>
            <w:pPr>
              <w:pStyle w:val="TableParagraph"/>
              <w:widowControl w:val="false"/>
              <w:spacing w:lineRule="exact" w:line="223"/>
              <w:ind w:left="5" w:right="220" w:hanging="0"/>
              <w:jc w:val="center"/>
              <w:rPr>
                <w:rFonts w:ascii="Calibri" w:hAnsi="Calibri" w:eastAsia="Arial" w:cs="Arial"/>
                <w:b w:val="false"/>
                <w:b w:val="false"/>
                <w:bCs w:val="false"/>
                <w:i w:val="false"/>
                <w:i w:val="false"/>
                <w:iCs/>
                <w:color w:val="auto"/>
                <w:spacing w:val="-2"/>
                <w:kern w:val="0"/>
                <w:sz w:val="24"/>
                <w:szCs w:val="24"/>
                <w:shd w:fill="auto" w:val="clear"/>
                <w:lang w:val="pt-BR" w:eastAsia="pt-BR" w:bidi="ar-SA"/>
              </w:rPr>
            </w:pPr>
            <w:r>
              <w:rPr>
                <w:rFonts w:eastAsia="Arial" w:cs="Arial" w:ascii="Calibri" w:hAnsi="Calibri"/>
                <w:b w:val="false"/>
                <w:bCs w:val="false"/>
                <w:i w:val="false"/>
                <w:iCs/>
                <w:color w:val="000000"/>
                <w:spacing w:val="-2"/>
                <w:kern w:val="0"/>
                <w:sz w:val="24"/>
                <w:szCs w:val="24"/>
                <w:shd w:fill="auto" w:val="clear"/>
                <w:lang w:val="pt-BR" w:eastAsia="pt-BR" w:bidi="ar-SA"/>
              </w:rPr>
            </w:r>
          </w:p>
          <w:p>
            <w:pPr>
              <w:pStyle w:val="TableParagraph"/>
              <w:widowControl w:val="false"/>
              <w:bidi w:val="0"/>
              <w:spacing w:lineRule="exact" w:line="223" w:before="0" w:after="0"/>
              <w:ind w:left="0" w:right="227" w:hanging="0"/>
              <w:jc w:val="center"/>
              <w:rPr>
                <w:rFonts w:ascii="Calibri" w:hAnsi="Calibri" w:eastAsia="Arial" w:cs="Arial"/>
                <w:b w:val="false"/>
                <w:b w:val="false"/>
                <w:bCs w:val="false"/>
                <w:i w:val="false"/>
                <w:i w:val="false"/>
                <w:iCs/>
                <w:color w:val="auto"/>
                <w:spacing w:val="-2"/>
                <w:kern w:val="0"/>
                <w:sz w:val="24"/>
                <w:szCs w:val="24"/>
                <w:shd w:fill="auto" w:val="clear"/>
                <w:lang w:val="pt-BR" w:eastAsia="pt-BR" w:bidi="ar-SA"/>
              </w:rPr>
            </w:pPr>
            <w:r>
              <w:rPr>
                <w:rFonts w:eastAsia="Arial" w:cs="Arial" w:ascii="Calibri" w:hAnsi="Calibri"/>
                <w:b w:val="false"/>
                <w:bCs w:val="false"/>
                <w:i w:val="false"/>
                <w:iCs/>
                <w:color w:val="000000"/>
                <w:spacing w:val="-2"/>
                <w:kern w:val="0"/>
                <w:sz w:val="24"/>
                <w:szCs w:val="24"/>
                <w:shd w:fill="auto" w:val="clear"/>
                <w:lang w:val="pt-BR" w:eastAsia="pt-BR" w:bidi="ar-SA"/>
              </w:rPr>
              <w:t>JULIANO DE CARVALHO BARBOSA</w:t>
            </w:r>
          </w:p>
          <w:p>
            <w:pPr>
              <w:pStyle w:val="TableParagraph"/>
              <w:widowControl w:val="false"/>
              <w:bidi w:val="0"/>
              <w:spacing w:before="0" w:after="0"/>
              <w:ind w:left="0" w:right="227" w:hanging="0"/>
              <w:jc w:val="center"/>
              <w:rPr>
                <w:rFonts w:ascii="Calibri" w:hAnsi="Calibri" w:eastAsia="Arial" w:cs="Arial"/>
                <w:b w:val="false"/>
                <w:b w:val="false"/>
                <w:bCs w:val="false"/>
                <w:i w:val="false"/>
                <w:i w:val="false"/>
                <w:iCs/>
                <w:color w:val="auto"/>
                <w:kern w:val="0"/>
                <w:sz w:val="24"/>
                <w:szCs w:val="24"/>
                <w:shd w:fill="auto" w:val="clear"/>
                <w:lang w:val="pt-BR" w:eastAsia="pt-BR" w:bidi="ar-SA"/>
              </w:rPr>
            </w:pPr>
            <w:r>
              <w:rPr>
                <w:rFonts w:eastAsia="Arial" w:cs="Arial" w:ascii="Calibri" w:hAnsi="Calibri"/>
                <w:b w:val="false"/>
                <w:bCs w:val="false"/>
                <w:i w:val="false"/>
                <w:iCs/>
                <w:color w:val="000000"/>
                <w:spacing w:val="-2"/>
                <w:kern w:val="0"/>
                <w:sz w:val="24"/>
                <w:szCs w:val="24"/>
                <w:shd w:fill="auto" w:val="clear"/>
                <w:lang w:val="pt-BR" w:eastAsia="pt-BR" w:bidi="ar-SA"/>
              </w:rPr>
              <w:t>Capitão-Tenente</w:t>
            </w:r>
            <w:r>
              <w:rPr>
                <w:rFonts w:eastAsia="Arial" w:cs="Arial" w:ascii="Calibri" w:hAnsi="Calibri"/>
                <w:b w:val="false"/>
                <w:bCs w:val="false"/>
                <w:i w:val="false"/>
                <w:iCs/>
                <w:color w:val="000000"/>
                <w:spacing w:val="-9"/>
                <w:kern w:val="0"/>
                <w:sz w:val="24"/>
                <w:szCs w:val="24"/>
                <w:shd w:fill="auto" w:val="clear"/>
                <w:lang w:val="pt-BR" w:eastAsia="pt-BR" w:bidi="ar-SA"/>
              </w:rPr>
              <w:t xml:space="preserve"> </w:t>
            </w:r>
            <w:r>
              <w:rPr>
                <w:rFonts w:eastAsia="Arial" w:cs="Arial" w:ascii="Calibri" w:hAnsi="Calibri"/>
                <w:b w:val="false"/>
                <w:bCs w:val="false"/>
                <w:i w:val="false"/>
                <w:iCs/>
                <w:color w:val="000000"/>
                <w:spacing w:val="-4"/>
                <w:kern w:val="0"/>
                <w:sz w:val="24"/>
                <w:szCs w:val="24"/>
                <w:shd w:fill="auto" w:val="clear"/>
                <w:lang w:val="pt-BR" w:eastAsia="pt-BR" w:bidi="ar-SA"/>
              </w:rPr>
              <w:t>(AA)</w:t>
            </w:r>
          </w:p>
          <w:p>
            <w:pPr>
              <w:pStyle w:val="TableParagraph"/>
              <w:widowControl w:val="false"/>
              <w:bidi w:val="0"/>
              <w:spacing w:before="0" w:after="0"/>
              <w:ind w:left="0" w:right="227" w:hanging="0"/>
              <w:jc w:val="center"/>
              <w:rPr>
                <w:rFonts w:ascii="Calibri" w:hAnsi="Calibri" w:eastAsia="Arial" w:cs="Arial"/>
                <w:b w:val="false"/>
                <w:b w:val="false"/>
                <w:bCs w:val="false"/>
                <w:i w:val="false"/>
                <w:i w:val="false"/>
                <w:iCs/>
                <w:color w:val="auto"/>
                <w:kern w:val="0"/>
                <w:sz w:val="24"/>
                <w:szCs w:val="24"/>
                <w:shd w:fill="auto" w:val="clear"/>
                <w:lang w:val="pt-BR" w:eastAsia="pt-BR" w:bidi="ar-SA"/>
              </w:rPr>
            </w:pPr>
            <w:r>
              <w:rPr>
                <w:rFonts w:eastAsia="Arial" w:cs="Arial" w:ascii="Calibri" w:hAnsi="Calibri"/>
                <w:b w:val="false"/>
                <w:bCs w:val="false"/>
                <w:i w:val="false"/>
                <w:iCs/>
                <w:color w:val="000000"/>
                <w:kern w:val="0"/>
                <w:sz w:val="24"/>
                <w:szCs w:val="24"/>
                <w:shd w:fill="auto" w:val="clear"/>
                <w:lang w:val="pt-BR" w:eastAsia="pt-BR" w:bidi="ar-SA"/>
              </w:rPr>
              <w:t>Chefe</w:t>
            </w:r>
            <w:r>
              <w:rPr>
                <w:rFonts w:eastAsia="Arial" w:cs="Arial" w:ascii="Calibri" w:hAnsi="Calibri"/>
                <w:b w:val="false"/>
                <w:bCs w:val="false"/>
                <w:i w:val="false"/>
                <w:iCs/>
                <w:color w:val="000000"/>
                <w:spacing w:val="-6"/>
                <w:kern w:val="0"/>
                <w:sz w:val="24"/>
                <w:szCs w:val="24"/>
                <w:shd w:fill="auto" w:val="clear"/>
                <w:lang w:val="pt-BR" w:eastAsia="pt-BR" w:bidi="ar-SA"/>
              </w:rPr>
              <w:t xml:space="preserve"> </w:t>
            </w:r>
            <w:r>
              <w:rPr>
                <w:rFonts w:eastAsia="Arial" w:cs="Arial" w:ascii="Calibri" w:hAnsi="Calibri"/>
                <w:b w:val="false"/>
                <w:bCs w:val="false"/>
                <w:i w:val="false"/>
                <w:iCs/>
                <w:color w:val="000000"/>
                <w:kern w:val="0"/>
                <w:sz w:val="24"/>
                <w:szCs w:val="24"/>
                <w:shd w:fill="auto" w:val="clear"/>
                <w:lang w:val="pt-BR" w:eastAsia="pt-BR" w:bidi="ar-SA"/>
              </w:rPr>
              <w:t>do</w:t>
            </w:r>
            <w:r>
              <w:rPr>
                <w:rFonts w:eastAsia="Arial" w:cs="Arial" w:ascii="Calibri" w:hAnsi="Calibri"/>
                <w:b w:val="false"/>
                <w:bCs w:val="false"/>
                <w:i w:val="false"/>
                <w:iCs/>
                <w:color w:val="000000"/>
                <w:spacing w:val="-4"/>
                <w:kern w:val="0"/>
                <w:sz w:val="24"/>
                <w:szCs w:val="24"/>
                <w:shd w:fill="auto" w:val="clear"/>
                <w:lang w:val="pt-BR" w:eastAsia="pt-BR" w:bidi="ar-SA"/>
              </w:rPr>
              <w:t xml:space="preserve"> </w:t>
            </w:r>
            <w:r>
              <w:rPr>
                <w:rFonts w:eastAsia="Arial" w:cs="Arial" w:ascii="Calibri" w:hAnsi="Calibri"/>
                <w:b w:val="false"/>
                <w:bCs w:val="false"/>
                <w:i w:val="false"/>
                <w:iCs/>
                <w:color w:val="000000"/>
                <w:kern w:val="0"/>
                <w:sz w:val="24"/>
                <w:szCs w:val="24"/>
                <w:shd w:fill="auto" w:val="clear"/>
                <w:lang w:val="pt-BR" w:eastAsia="pt-BR" w:bidi="ar-SA"/>
              </w:rPr>
              <w:t>Departamento</w:t>
            </w:r>
            <w:r>
              <w:rPr>
                <w:rFonts w:eastAsia="Arial" w:cs="Arial" w:ascii="Calibri" w:hAnsi="Calibri"/>
                <w:b w:val="false"/>
                <w:bCs w:val="false"/>
                <w:i w:val="false"/>
                <w:iCs/>
                <w:color w:val="000000"/>
                <w:spacing w:val="-4"/>
                <w:kern w:val="0"/>
                <w:sz w:val="24"/>
                <w:szCs w:val="24"/>
                <w:shd w:fill="auto" w:val="clear"/>
                <w:lang w:val="pt-BR" w:eastAsia="pt-BR" w:bidi="ar-SA"/>
              </w:rPr>
              <w:t xml:space="preserve"> </w:t>
            </w:r>
            <w:r>
              <w:rPr>
                <w:rFonts w:eastAsia="Arial" w:cs="Arial" w:ascii="Calibri" w:hAnsi="Calibri"/>
                <w:b w:val="false"/>
                <w:bCs w:val="false"/>
                <w:i w:val="false"/>
                <w:iCs/>
                <w:color w:val="000000"/>
                <w:kern w:val="0"/>
                <w:sz w:val="24"/>
                <w:szCs w:val="24"/>
                <w:shd w:fill="auto" w:val="clear"/>
                <w:lang w:val="pt-BR" w:eastAsia="pt-BR" w:bidi="ar-SA"/>
              </w:rPr>
              <w:t>de</w:t>
            </w:r>
            <w:r>
              <w:rPr>
                <w:rFonts w:eastAsia="Arial" w:cs="Arial" w:ascii="Calibri" w:hAnsi="Calibri"/>
                <w:b w:val="false"/>
                <w:bCs w:val="false"/>
                <w:i w:val="false"/>
                <w:iCs/>
                <w:color w:val="000000"/>
                <w:spacing w:val="-6"/>
                <w:kern w:val="0"/>
                <w:sz w:val="24"/>
                <w:szCs w:val="24"/>
                <w:shd w:fill="auto" w:val="clear"/>
                <w:lang w:val="pt-BR" w:eastAsia="pt-BR" w:bidi="ar-SA"/>
              </w:rPr>
              <w:t xml:space="preserve"> </w:t>
            </w:r>
            <w:r>
              <w:rPr>
                <w:rFonts w:eastAsia="Arial" w:cs="Arial" w:ascii="Calibri" w:hAnsi="Calibri"/>
                <w:b w:val="false"/>
                <w:bCs w:val="false"/>
                <w:i w:val="false"/>
                <w:iCs/>
                <w:color w:val="000000"/>
                <w:kern w:val="0"/>
                <w:sz w:val="24"/>
                <w:szCs w:val="24"/>
                <w:shd w:fill="auto" w:val="clear"/>
                <w:lang w:val="pt-BR" w:eastAsia="pt-BR" w:bidi="ar-SA"/>
              </w:rPr>
              <w:t>Embarcações</w:t>
            </w:r>
            <w:r>
              <w:rPr>
                <w:rFonts w:eastAsia="Arial" w:cs="Arial" w:ascii="Calibri" w:hAnsi="Calibri"/>
                <w:b w:val="false"/>
                <w:bCs w:val="false"/>
                <w:i w:val="false"/>
                <w:iCs/>
                <w:color w:val="000000"/>
                <w:spacing w:val="-6"/>
                <w:kern w:val="0"/>
                <w:sz w:val="24"/>
                <w:szCs w:val="24"/>
                <w:shd w:fill="auto" w:val="clear"/>
                <w:lang w:val="pt-BR" w:eastAsia="pt-BR" w:bidi="ar-SA"/>
              </w:rPr>
              <w:t xml:space="preserve"> </w:t>
            </w:r>
            <w:r>
              <w:rPr>
                <w:rFonts w:eastAsia="Arial" w:cs="Arial" w:ascii="Calibri" w:hAnsi="Calibri"/>
                <w:b w:val="false"/>
                <w:bCs w:val="false"/>
                <w:i w:val="false"/>
                <w:iCs/>
                <w:color w:val="000000"/>
                <w:kern w:val="0"/>
                <w:sz w:val="24"/>
                <w:szCs w:val="24"/>
                <w:shd w:fill="auto" w:val="clear"/>
                <w:lang w:val="pt-BR" w:eastAsia="pt-BR" w:bidi="ar-SA"/>
              </w:rPr>
              <w:t>e</w:t>
            </w:r>
            <w:r>
              <w:rPr>
                <w:rFonts w:eastAsia="Arial" w:cs="Arial" w:ascii="Calibri" w:hAnsi="Calibri"/>
                <w:b w:val="false"/>
                <w:bCs w:val="false"/>
                <w:i w:val="false"/>
                <w:iCs/>
                <w:color w:val="000000"/>
                <w:spacing w:val="-4"/>
                <w:kern w:val="0"/>
                <w:sz w:val="24"/>
                <w:szCs w:val="24"/>
                <w:shd w:fill="auto" w:val="clear"/>
                <w:lang w:val="pt-BR" w:eastAsia="pt-BR" w:bidi="ar-SA"/>
              </w:rPr>
              <w:t xml:space="preserve"> </w:t>
            </w:r>
            <w:r>
              <w:rPr>
                <w:rFonts w:eastAsia="Arial" w:cs="Arial" w:ascii="Calibri" w:hAnsi="Calibri"/>
                <w:b w:val="false"/>
                <w:bCs w:val="false"/>
                <w:i w:val="false"/>
                <w:iCs/>
                <w:color w:val="000000"/>
                <w:spacing w:val="-2"/>
                <w:kern w:val="0"/>
                <w:sz w:val="24"/>
                <w:szCs w:val="24"/>
                <w:shd w:fill="auto" w:val="clear"/>
                <w:lang w:val="pt-BR" w:eastAsia="pt-BR" w:bidi="ar-SA"/>
              </w:rPr>
              <w:t>Viaturas</w:t>
            </w:r>
          </w:p>
        </w:tc>
        <w:tc>
          <w:tcPr>
            <w:tcW w:w="4674" w:type="dxa"/>
            <w:tcBorders/>
          </w:tcPr>
          <w:p>
            <w:pPr>
              <w:pStyle w:val="TableParagraph"/>
              <w:widowControl w:val="false"/>
              <w:spacing w:lineRule="exact" w:line="223"/>
              <w:ind w:left="272" w:right="0" w:hanging="0"/>
              <w:jc w:val="center"/>
              <w:rPr>
                <w:rFonts w:ascii="Calibri" w:hAnsi="Calibri" w:eastAsia="Arial" w:cs="Arial"/>
                <w:b w:val="false"/>
                <w:b w:val="false"/>
                <w:bCs w:val="false"/>
                <w:i w:val="false"/>
                <w:i w:val="false"/>
                <w:iCs/>
                <w:color w:val="auto"/>
                <w:spacing w:val="-2"/>
                <w:kern w:val="0"/>
                <w:sz w:val="24"/>
                <w:szCs w:val="24"/>
                <w:shd w:fill="auto" w:val="clear"/>
                <w:lang w:val="pt-BR" w:eastAsia="pt-BR" w:bidi="ar-SA"/>
              </w:rPr>
            </w:pPr>
            <w:r>
              <w:rPr>
                <w:rFonts w:eastAsia="Arial" w:cs="Arial" w:ascii="Calibri" w:hAnsi="Calibri"/>
                <w:b w:val="false"/>
                <w:bCs w:val="false"/>
                <w:i w:val="false"/>
                <w:iCs/>
                <w:color w:val="000000"/>
                <w:spacing w:val="-2"/>
                <w:kern w:val="0"/>
                <w:sz w:val="24"/>
                <w:szCs w:val="24"/>
                <w:shd w:fill="auto" w:val="clear"/>
                <w:lang w:val="pt-BR" w:eastAsia="pt-BR" w:bidi="ar-SA"/>
              </w:rPr>
            </w:r>
          </w:p>
          <w:p>
            <w:pPr>
              <w:pStyle w:val="TableParagraph"/>
              <w:widowControl w:val="false"/>
              <w:spacing w:lineRule="exact" w:line="223"/>
              <w:ind w:left="272" w:right="0" w:hanging="0"/>
              <w:jc w:val="center"/>
              <w:rPr>
                <w:rFonts w:ascii="Calibri" w:hAnsi="Calibri" w:eastAsia="Arial" w:cs="Arial"/>
                <w:b w:val="false"/>
                <w:b w:val="false"/>
                <w:bCs w:val="false"/>
                <w:i w:val="false"/>
                <w:i w:val="false"/>
                <w:iCs/>
                <w:color w:val="auto"/>
                <w:spacing w:val="-2"/>
                <w:kern w:val="0"/>
                <w:sz w:val="24"/>
                <w:szCs w:val="24"/>
                <w:shd w:fill="auto" w:val="clear"/>
                <w:lang w:val="pt-BR" w:eastAsia="pt-BR" w:bidi="ar-SA"/>
              </w:rPr>
            </w:pPr>
            <w:r>
              <w:rPr>
                <w:rFonts w:eastAsia="Arial" w:cs="Arial" w:ascii="Calibri" w:hAnsi="Calibri"/>
                <w:b w:val="false"/>
                <w:bCs w:val="false"/>
                <w:i w:val="false"/>
                <w:iCs/>
                <w:color w:val="000000"/>
                <w:spacing w:val="-2"/>
                <w:kern w:val="0"/>
                <w:sz w:val="24"/>
                <w:szCs w:val="24"/>
                <w:shd w:fill="auto" w:val="clear"/>
                <w:lang w:val="pt-BR" w:eastAsia="pt-BR" w:bidi="ar-SA"/>
              </w:rPr>
            </w:r>
          </w:p>
          <w:p>
            <w:pPr>
              <w:pStyle w:val="TableParagraph"/>
              <w:widowControl w:val="false"/>
              <w:spacing w:lineRule="exact" w:line="223"/>
              <w:ind w:left="272" w:right="0" w:hanging="0"/>
              <w:jc w:val="center"/>
              <w:rPr>
                <w:rFonts w:ascii="Calibri" w:hAnsi="Calibri" w:eastAsia="Arial" w:cs="Arial"/>
                <w:b w:val="false"/>
                <w:b w:val="false"/>
                <w:bCs w:val="false"/>
                <w:i w:val="false"/>
                <w:i w:val="false"/>
                <w:iCs/>
                <w:color w:val="auto"/>
                <w:spacing w:val="-2"/>
                <w:kern w:val="0"/>
                <w:sz w:val="24"/>
                <w:szCs w:val="24"/>
                <w:shd w:fill="auto" w:val="clear"/>
                <w:lang w:val="pt-BR" w:eastAsia="pt-BR" w:bidi="ar-SA"/>
              </w:rPr>
            </w:pPr>
            <w:r>
              <w:rPr>
                <w:rFonts w:eastAsia="Arial" w:cs="Arial" w:ascii="Calibri" w:hAnsi="Calibri"/>
                <w:b w:val="false"/>
                <w:bCs w:val="false"/>
                <w:i w:val="false"/>
                <w:iCs/>
                <w:color w:val="000000"/>
                <w:spacing w:val="-2"/>
                <w:kern w:val="0"/>
                <w:sz w:val="24"/>
                <w:szCs w:val="24"/>
                <w:shd w:fill="auto" w:val="clear"/>
                <w:lang w:val="pt-BR" w:eastAsia="pt-BR" w:bidi="ar-SA"/>
              </w:rPr>
            </w:r>
          </w:p>
          <w:p>
            <w:pPr>
              <w:pStyle w:val="TableParagraph"/>
              <w:widowControl w:val="false"/>
              <w:spacing w:lineRule="exact" w:line="223"/>
              <w:ind w:left="272" w:right="0" w:hanging="0"/>
              <w:jc w:val="center"/>
              <w:rPr>
                <w:rFonts w:ascii="Calibri" w:hAnsi="Calibri" w:eastAsia="Arial" w:cs="Arial"/>
                <w:b w:val="false"/>
                <w:b w:val="false"/>
                <w:bCs w:val="false"/>
                <w:i w:val="false"/>
                <w:i w:val="false"/>
                <w:iCs/>
                <w:color w:val="auto"/>
                <w:spacing w:val="-2"/>
                <w:kern w:val="0"/>
                <w:sz w:val="24"/>
                <w:szCs w:val="24"/>
                <w:shd w:fill="auto" w:val="clear"/>
                <w:lang w:val="pt-BR" w:eastAsia="pt-BR" w:bidi="ar-SA"/>
              </w:rPr>
            </w:pPr>
            <w:r>
              <w:rPr>
                <w:rFonts w:eastAsia="Arial" w:cs="Arial" w:ascii="Calibri" w:hAnsi="Calibri"/>
                <w:b w:val="false"/>
                <w:bCs w:val="false"/>
                <w:i w:val="false"/>
                <w:iCs/>
                <w:color w:val="000000"/>
                <w:spacing w:val="-2"/>
                <w:kern w:val="0"/>
                <w:sz w:val="24"/>
                <w:szCs w:val="24"/>
                <w:shd w:fill="auto" w:val="clear"/>
                <w:lang w:val="pt-BR" w:eastAsia="pt-BR" w:bidi="ar-SA"/>
              </w:rPr>
            </w:r>
          </w:p>
          <w:p>
            <w:pPr>
              <w:pStyle w:val="TableParagraph"/>
              <w:widowControl w:val="false"/>
              <w:spacing w:lineRule="exact" w:line="223"/>
              <w:ind w:left="272" w:right="0" w:hanging="0"/>
              <w:jc w:val="center"/>
              <w:rPr>
                <w:rFonts w:ascii="Calibri" w:hAnsi="Calibri" w:eastAsia="Arial" w:cs="Arial"/>
                <w:b w:val="false"/>
                <w:b w:val="false"/>
                <w:bCs w:val="false"/>
                <w:i w:val="false"/>
                <w:i w:val="false"/>
                <w:iCs/>
                <w:color w:val="auto"/>
                <w:spacing w:val="-2"/>
                <w:kern w:val="0"/>
                <w:sz w:val="24"/>
                <w:szCs w:val="24"/>
                <w:shd w:fill="auto" w:val="clear"/>
                <w:lang w:val="pt-BR" w:eastAsia="pt-BR" w:bidi="ar-SA"/>
              </w:rPr>
            </w:pPr>
            <w:r>
              <w:rPr>
                <w:rFonts w:eastAsia="Arial" w:cs="Arial" w:ascii="Calibri" w:hAnsi="Calibri"/>
                <w:b w:val="false"/>
                <w:bCs w:val="false"/>
                <w:i w:val="false"/>
                <w:iCs/>
                <w:color w:val="000000"/>
                <w:spacing w:val="-2"/>
                <w:kern w:val="0"/>
                <w:sz w:val="24"/>
                <w:szCs w:val="24"/>
                <w:shd w:fill="auto" w:val="clear"/>
                <w:lang w:val="pt-BR" w:eastAsia="pt-BR" w:bidi="ar-SA"/>
              </w:rPr>
            </w:r>
          </w:p>
          <w:p>
            <w:pPr>
              <w:pStyle w:val="TableParagraph"/>
              <w:widowControl w:val="false"/>
              <w:spacing w:lineRule="exact" w:line="223"/>
              <w:ind w:left="272" w:right="0" w:hanging="0"/>
              <w:jc w:val="center"/>
              <w:rPr>
                <w:rFonts w:ascii="Calibri" w:hAnsi="Calibri" w:eastAsia="Arial" w:cs="Arial"/>
                <w:b w:val="false"/>
                <w:b w:val="false"/>
                <w:bCs w:val="false"/>
                <w:i w:val="false"/>
                <w:i w:val="false"/>
                <w:iCs/>
                <w:color w:val="auto"/>
                <w:spacing w:val="-2"/>
                <w:kern w:val="0"/>
                <w:sz w:val="24"/>
                <w:szCs w:val="24"/>
                <w:shd w:fill="auto" w:val="clear"/>
                <w:lang w:val="pt-BR" w:eastAsia="pt-BR" w:bidi="ar-SA"/>
              </w:rPr>
            </w:pPr>
            <w:r>
              <w:rPr>
                <w:rFonts w:eastAsia="Arial" w:cs="Arial" w:ascii="Calibri" w:hAnsi="Calibri"/>
                <w:b w:val="false"/>
                <w:bCs w:val="false"/>
                <w:i w:val="false"/>
                <w:iCs/>
                <w:color w:val="000000"/>
                <w:spacing w:val="-2"/>
                <w:kern w:val="0"/>
                <w:sz w:val="24"/>
                <w:szCs w:val="24"/>
                <w:shd w:fill="auto" w:val="clear"/>
                <w:lang w:val="pt-BR" w:eastAsia="pt-BR" w:bidi="ar-SA"/>
              </w:rPr>
            </w:r>
          </w:p>
          <w:p>
            <w:pPr>
              <w:pStyle w:val="Normal"/>
              <w:widowControl w:val="false"/>
              <w:tabs>
                <w:tab w:val="clear" w:pos="720"/>
                <w:tab w:val="left" w:pos="1709" w:leader="none"/>
              </w:tabs>
              <w:suppressAutoHyphens w:val="true"/>
              <w:bidi w:val="0"/>
              <w:spacing w:lineRule="auto" w:line="276" w:before="0" w:after="0"/>
              <w:ind w:left="0" w:right="0" w:hanging="0"/>
              <w:jc w:val="center"/>
              <w:rPr>
                <w:rFonts w:ascii="Calibri" w:hAnsi="Calibri" w:eastAsia="Arial" w:cs="Arial"/>
                <w:b w:val="false"/>
                <w:b w:val="false"/>
                <w:bCs w:val="false"/>
                <w:i w:val="false"/>
                <w:i w:val="false"/>
                <w:iCs/>
                <w:color w:val="auto"/>
                <w:kern w:val="0"/>
                <w:sz w:val="24"/>
                <w:szCs w:val="24"/>
                <w:shd w:fill="auto" w:val="clear"/>
                <w:lang w:val="pt-BR" w:eastAsia="pt-BR" w:bidi="ar-SA"/>
              </w:rPr>
            </w:pPr>
            <w:r>
              <w:rPr>
                <w:rFonts w:eastAsia="Arial" w:cs="Arial" w:ascii="Calibri" w:hAnsi="Calibri"/>
                <w:b w:val="false"/>
                <w:bCs w:val="false"/>
                <w:i w:val="false"/>
                <w:iCs/>
                <w:color w:val="000000"/>
                <w:kern w:val="0"/>
                <w:sz w:val="24"/>
                <w:szCs w:val="24"/>
                <w:shd w:fill="auto" w:val="clear"/>
                <w:lang w:val="pt-BR" w:eastAsia="pt-BR" w:bidi="ar-SA"/>
              </w:rPr>
              <w:t>FABIANO DE CASTRO VIEIRA</w:t>
            </w:r>
          </w:p>
          <w:p>
            <w:pPr>
              <w:pStyle w:val="Contedodatabela"/>
              <w:widowControl w:val="false"/>
              <w:suppressLineNumbers/>
              <w:suppressAutoHyphens w:val="true"/>
              <w:bidi w:val="0"/>
              <w:spacing w:lineRule="auto" w:line="276" w:before="0" w:after="0"/>
              <w:ind w:left="0" w:right="0" w:hanging="0"/>
              <w:jc w:val="center"/>
              <w:textAlignment w:val="baseline"/>
              <w:rPr>
                <w:rFonts w:ascii="Calibri" w:hAnsi="Calibri" w:eastAsia="Arial" w:cs="Arial"/>
                <w:b w:val="false"/>
                <w:b w:val="false"/>
                <w:bCs w:val="false"/>
                <w:i w:val="false"/>
                <w:i w:val="false"/>
                <w:iCs/>
                <w:color w:val="auto"/>
                <w:kern w:val="0"/>
                <w:sz w:val="24"/>
                <w:szCs w:val="24"/>
                <w:shd w:fill="auto" w:val="clear"/>
                <w:lang w:val="pt-BR" w:eastAsia="pt-BR" w:bidi="ar-SA"/>
              </w:rPr>
            </w:pPr>
            <w:r>
              <w:rPr>
                <w:rFonts w:eastAsia="Arial" w:cs="Arial" w:ascii="Calibri" w:hAnsi="Calibri"/>
                <w:b w:val="false"/>
                <w:bCs w:val="false"/>
                <w:i w:val="false"/>
                <w:iCs/>
                <w:color w:val="000000"/>
                <w:kern w:val="0"/>
                <w:sz w:val="24"/>
                <w:szCs w:val="24"/>
                <w:shd w:fill="auto" w:val="clear"/>
                <w:lang w:val="pt-BR" w:eastAsia="pt-BR" w:bidi="ar-SA"/>
              </w:rPr>
              <w:t>Terceiro-Sargento (MO)</w:t>
            </w:r>
          </w:p>
          <w:p>
            <w:pPr>
              <w:pStyle w:val="Normal"/>
              <w:widowControl w:val="false"/>
              <w:tabs>
                <w:tab w:val="clear" w:pos="720"/>
                <w:tab w:val="left" w:pos="1709" w:leader="none"/>
              </w:tabs>
              <w:suppressAutoHyphens w:val="true"/>
              <w:bidi w:val="0"/>
              <w:spacing w:lineRule="auto" w:line="276" w:before="0" w:after="0"/>
              <w:ind w:left="0" w:right="0" w:hanging="0"/>
              <w:jc w:val="center"/>
              <w:rPr>
                <w:rFonts w:ascii="Calibri" w:hAnsi="Calibri" w:eastAsia="Arial" w:cs="Arial"/>
                <w:b w:val="false"/>
                <w:b w:val="false"/>
                <w:bCs w:val="false"/>
                <w:i w:val="false"/>
                <w:i w:val="false"/>
                <w:iCs/>
                <w:color w:val="auto"/>
                <w:spacing w:val="-2"/>
                <w:kern w:val="0"/>
                <w:sz w:val="24"/>
                <w:szCs w:val="24"/>
                <w:shd w:fill="auto" w:val="clear"/>
                <w:lang w:val="pt-BR" w:eastAsia="pt-BR" w:bidi="ar-SA"/>
              </w:rPr>
            </w:pPr>
            <w:r>
              <w:rPr>
                <w:rFonts w:eastAsia="Arial" w:cs="Arial" w:ascii="Calibri" w:hAnsi="Calibri"/>
                <w:b w:val="false"/>
                <w:bCs w:val="false"/>
                <w:i w:val="false"/>
                <w:iCs/>
                <w:color w:val="000000"/>
                <w:spacing w:val="-2"/>
                <w:kern w:val="0"/>
                <w:sz w:val="24"/>
                <w:szCs w:val="24"/>
                <w:shd w:fill="auto" w:val="clear"/>
                <w:lang w:val="pt-BR" w:eastAsia="pt-BR" w:bidi="ar-SA"/>
              </w:rPr>
              <w:t>Gestor das Embarcações</w:t>
            </w:r>
          </w:p>
        </w:tc>
      </w:tr>
      <w:tr>
        <w:trPr>
          <w:trHeight w:val="751" w:hRule="atLeast"/>
        </w:trPr>
        <w:tc>
          <w:tcPr>
            <w:tcW w:w="4963" w:type="dxa"/>
            <w:tcBorders/>
          </w:tcPr>
          <w:p>
            <w:pPr>
              <w:pStyle w:val="TableParagraph"/>
              <w:widowControl w:val="false"/>
              <w:spacing w:lineRule="exact" w:line="223"/>
              <w:ind w:left="1767" w:right="0" w:hanging="0"/>
              <w:jc w:val="center"/>
              <w:rPr>
                <w:rFonts w:ascii="Calibri" w:hAnsi="Calibri" w:eastAsia="Arial" w:cs="Arial"/>
                <w:b w:val="false"/>
                <w:b w:val="false"/>
                <w:bCs w:val="false"/>
                <w:i w:val="false"/>
                <w:i w:val="false"/>
                <w:iCs/>
                <w:color w:val="auto"/>
                <w:spacing w:val="-2"/>
                <w:kern w:val="0"/>
                <w:sz w:val="24"/>
                <w:szCs w:val="24"/>
                <w:shd w:fill="auto" w:val="clear"/>
                <w:lang w:val="pt-BR" w:eastAsia="pt-BR" w:bidi="ar-SA"/>
              </w:rPr>
            </w:pPr>
            <w:r>
              <w:rPr>
                <w:rFonts w:eastAsia="Arial" w:cs="Arial" w:ascii="Calibri" w:hAnsi="Calibri"/>
                <w:b w:val="false"/>
                <w:bCs w:val="false"/>
                <w:i w:val="false"/>
                <w:iCs/>
                <w:color w:val="000000"/>
                <w:spacing w:val="-2"/>
                <w:kern w:val="0"/>
                <w:sz w:val="24"/>
                <w:szCs w:val="24"/>
                <w:shd w:fill="auto" w:val="clear"/>
                <w:lang w:val="pt-BR" w:eastAsia="pt-BR" w:bidi="ar-SA"/>
              </w:rPr>
            </w:r>
          </w:p>
        </w:tc>
        <w:tc>
          <w:tcPr>
            <w:tcW w:w="4674" w:type="dxa"/>
            <w:tcBorders/>
          </w:tcPr>
          <w:p>
            <w:pPr>
              <w:pStyle w:val="TableParagraph"/>
              <w:widowControl w:val="false"/>
              <w:spacing w:lineRule="exact" w:line="223"/>
              <w:ind w:left="1767" w:right="0" w:hanging="0"/>
              <w:jc w:val="center"/>
              <w:rPr>
                <w:rFonts w:ascii="Calibri" w:hAnsi="Calibri" w:eastAsia="Arial" w:cs="Arial"/>
                <w:b w:val="false"/>
                <w:b w:val="false"/>
                <w:bCs w:val="false"/>
                <w:i w:val="false"/>
                <w:i w:val="false"/>
                <w:iCs/>
                <w:color w:val="auto"/>
                <w:spacing w:val="-2"/>
                <w:kern w:val="0"/>
                <w:sz w:val="24"/>
                <w:szCs w:val="24"/>
                <w:shd w:fill="auto" w:val="clear"/>
                <w:lang w:val="pt-BR" w:eastAsia="pt-BR" w:bidi="ar-SA"/>
              </w:rPr>
            </w:pPr>
            <w:r>
              <w:rPr>
                <w:rFonts w:eastAsia="Arial" w:cs="Arial" w:ascii="Calibri" w:hAnsi="Calibri"/>
                <w:b w:val="false"/>
                <w:bCs w:val="false"/>
                <w:i w:val="false"/>
                <w:iCs/>
                <w:color w:val="000000"/>
                <w:spacing w:val="-2"/>
                <w:kern w:val="0"/>
                <w:sz w:val="24"/>
                <w:szCs w:val="24"/>
                <w:shd w:fill="auto" w:val="clear"/>
                <w:lang w:val="pt-BR" w:eastAsia="pt-BR" w:bidi="ar-SA"/>
              </w:rPr>
            </w:r>
          </w:p>
          <w:p>
            <w:pPr>
              <w:pStyle w:val="TableParagraph"/>
              <w:widowControl w:val="false"/>
              <w:spacing w:lineRule="exact" w:line="223"/>
              <w:ind w:left="272" w:right="0" w:hanging="0"/>
              <w:jc w:val="center"/>
              <w:rPr>
                <w:rFonts w:ascii="Calibri" w:hAnsi="Calibri" w:eastAsia="Arial" w:cs="Arial"/>
                <w:b w:val="false"/>
                <w:b w:val="false"/>
                <w:bCs w:val="false"/>
                <w:i w:val="false"/>
                <w:i w:val="false"/>
                <w:iCs/>
                <w:color w:val="auto"/>
                <w:spacing w:val="-2"/>
                <w:kern w:val="0"/>
                <w:sz w:val="24"/>
                <w:szCs w:val="24"/>
                <w:shd w:fill="auto" w:val="clear"/>
                <w:lang w:val="pt-BR" w:eastAsia="pt-BR" w:bidi="ar-SA"/>
              </w:rPr>
            </w:pPr>
            <w:r>
              <w:rPr>
                <w:rFonts w:eastAsia="Arial" w:cs="Arial" w:ascii="Calibri" w:hAnsi="Calibri"/>
                <w:b w:val="false"/>
                <w:bCs w:val="false"/>
                <w:i w:val="false"/>
                <w:iCs/>
                <w:color w:val="000000"/>
                <w:spacing w:val="-2"/>
                <w:kern w:val="0"/>
                <w:sz w:val="24"/>
                <w:szCs w:val="24"/>
                <w:shd w:fill="auto" w:val="clear"/>
                <w:lang w:val="pt-BR" w:eastAsia="pt-BR" w:bidi="ar-SA"/>
              </w:rPr>
            </w:r>
          </w:p>
          <w:p>
            <w:pPr>
              <w:pStyle w:val="TableParagraph"/>
              <w:widowControl w:val="false"/>
              <w:spacing w:lineRule="exact" w:line="223"/>
              <w:ind w:left="272" w:right="0" w:hanging="0"/>
              <w:jc w:val="center"/>
              <w:rPr>
                <w:rFonts w:ascii="Calibri" w:hAnsi="Calibri" w:eastAsia="Arial" w:cs="Arial"/>
                <w:b w:val="false"/>
                <w:b w:val="false"/>
                <w:bCs w:val="false"/>
                <w:i w:val="false"/>
                <w:i w:val="false"/>
                <w:iCs/>
                <w:color w:val="auto"/>
                <w:spacing w:val="-2"/>
                <w:kern w:val="0"/>
                <w:sz w:val="24"/>
                <w:szCs w:val="24"/>
                <w:shd w:fill="auto" w:val="clear"/>
                <w:lang w:val="pt-BR" w:eastAsia="pt-BR" w:bidi="ar-SA"/>
              </w:rPr>
            </w:pPr>
            <w:r>
              <w:rPr>
                <w:rFonts w:eastAsia="Arial" w:cs="Arial" w:ascii="Calibri" w:hAnsi="Calibri"/>
                <w:b w:val="false"/>
                <w:bCs w:val="false"/>
                <w:i w:val="false"/>
                <w:iCs/>
                <w:color w:val="000000"/>
                <w:spacing w:val="-2"/>
                <w:kern w:val="0"/>
                <w:sz w:val="24"/>
                <w:szCs w:val="24"/>
                <w:shd w:fill="auto" w:val="clear"/>
                <w:lang w:val="pt-BR" w:eastAsia="pt-BR" w:bidi="ar-SA"/>
              </w:rPr>
            </w:r>
          </w:p>
          <w:p>
            <w:pPr>
              <w:pStyle w:val="TableParagraph"/>
              <w:widowControl w:val="false"/>
              <w:spacing w:lineRule="exact" w:line="223"/>
              <w:ind w:left="272" w:right="0" w:hanging="0"/>
              <w:jc w:val="center"/>
              <w:rPr>
                <w:rFonts w:ascii="Calibri" w:hAnsi="Calibri" w:eastAsia="Arial" w:cs="Arial"/>
                <w:b w:val="false"/>
                <w:b w:val="false"/>
                <w:bCs w:val="false"/>
                <w:i w:val="false"/>
                <w:i w:val="false"/>
                <w:iCs/>
                <w:color w:val="auto"/>
                <w:spacing w:val="-2"/>
                <w:kern w:val="0"/>
                <w:sz w:val="24"/>
                <w:szCs w:val="24"/>
                <w:shd w:fill="auto" w:val="clear"/>
                <w:lang w:val="pt-BR" w:eastAsia="pt-BR" w:bidi="ar-SA"/>
              </w:rPr>
            </w:pPr>
            <w:r>
              <w:rPr>
                <w:rFonts w:eastAsia="Arial" w:cs="Arial" w:ascii="Calibri" w:hAnsi="Calibri"/>
                <w:b w:val="false"/>
                <w:bCs w:val="false"/>
                <w:i w:val="false"/>
                <w:iCs/>
                <w:color w:val="000000"/>
                <w:spacing w:val="-2"/>
                <w:kern w:val="0"/>
                <w:sz w:val="24"/>
                <w:szCs w:val="24"/>
                <w:shd w:fill="auto" w:val="clear"/>
                <w:lang w:val="pt-BR" w:eastAsia="pt-BR" w:bidi="ar-SA"/>
              </w:rPr>
            </w:r>
          </w:p>
          <w:p>
            <w:pPr>
              <w:pStyle w:val="TableParagraph"/>
              <w:widowControl w:val="false"/>
              <w:spacing w:lineRule="exact" w:line="223"/>
              <w:ind w:left="272" w:right="0" w:hanging="0"/>
              <w:jc w:val="center"/>
              <w:rPr>
                <w:rFonts w:ascii="Calibri" w:hAnsi="Calibri" w:eastAsia="Arial" w:cs="Arial"/>
                <w:b w:val="false"/>
                <w:b w:val="false"/>
                <w:bCs w:val="false"/>
                <w:i w:val="false"/>
                <w:i w:val="false"/>
                <w:iCs/>
                <w:color w:val="auto"/>
                <w:spacing w:val="-2"/>
                <w:kern w:val="0"/>
                <w:sz w:val="24"/>
                <w:szCs w:val="24"/>
                <w:shd w:fill="auto" w:val="clear"/>
                <w:lang w:val="pt-BR" w:eastAsia="pt-BR" w:bidi="ar-SA"/>
              </w:rPr>
            </w:pPr>
            <w:r>
              <w:rPr>
                <w:rFonts w:eastAsia="Arial" w:cs="Arial" w:ascii="Calibri" w:hAnsi="Calibri"/>
                <w:b w:val="false"/>
                <w:bCs w:val="false"/>
                <w:i w:val="false"/>
                <w:iCs/>
                <w:color w:val="000000"/>
                <w:spacing w:val="-2"/>
                <w:kern w:val="0"/>
                <w:sz w:val="24"/>
                <w:szCs w:val="24"/>
                <w:shd w:fill="auto" w:val="clear"/>
                <w:lang w:val="pt-BR" w:eastAsia="pt-BR" w:bidi="ar-SA"/>
              </w:rPr>
            </w:r>
          </w:p>
          <w:p>
            <w:pPr>
              <w:pStyle w:val="TableParagraph"/>
              <w:widowControl w:val="false"/>
              <w:spacing w:lineRule="exact" w:line="223"/>
              <w:ind w:left="272" w:right="0" w:hanging="0"/>
              <w:jc w:val="center"/>
              <w:rPr>
                <w:rFonts w:ascii="Calibri" w:hAnsi="Calibri" w:eastAsia="Arial" w:cs="Arial"/>
                <w:b w:val="false"/>
                <w:b w:val="false"/>
                <w:bCs w:val="false"/>
                <w:i w:val="false"/>
                <w:i w:val="false"/>
                <w:iCs/>
                <w:color w:val="auto"/>
                <w:spacing w:val="-2"/>
                <w:kern w:val="0"/>
                <w:sz w:val="24"/>
                <w:szCs w:val="24"/>
                <w:shd w:fill="auto" w:val="clear"/>
                <w:lang w:val="pt-BR" w:eastAsia="pt-BR" w:bidi="ar-SA"/>
              </w:rPr>
            </w:pPr>
            <w:r>
              <w:rPr>
                <w:rFonts w:eastAsia="Arial" w:cs="Arial" w:ascii="Calibri" w:hAnsi="Calibri"/>
                <w:b w:val="false"/>
                <w:bCs w:val="false"/>
                <w:i w:val="false"/>
                <w:iCs/>
                <w:color w:val="000000"/>
                <w:spacing w:val="-2"/>
                <w:kern w:val="0"/>
                <w:sz w:val="24"/>
                <w:szCs w:val="24"/>
                <w:shd w:fill="auto" w:val="clear"/>
                <w:lang w:val="pt-BR" w:eastAsia="pt-BR" w:bidi="ar-SA"/>
              </w:rPr>
            </w:r>
          </w:p>
          <w:p>
            <w:pPr>
              <w:pStyle w:val="TableParagraph"/>
              <w:widowControl w:val="false"/>
              <w:bidi w:val="0"/>
              <w:spacing w:lineRule="exact" w:line="223" w:before="0" w:after="0"/>
              <w:ind w:left="0" w:right="0" w:hanging="0"/>
              <w:jc w:val="center"/>
              <w:rPr>
                <w:rFonts w:ascii="Calibri" w:hAnsi="Calibri" w:eastAsia="Arial" w:cs="Arial"/>
                <w:b w:val="false"/>
                <w:b w:val="false"/>
                <w:bCs w:val="false"/>
                <w:i w:val="false"/>
                <w:i w:val="false"/>
                <w:iCs/>
                <w:color w:val="auto"/>
                <w:spacing w:val="-2"/>
                <w:kern w:val="0"/>
                <w:sz w:val="24"/>
                <w:szCs w:val="24"/>
                <w:shd w:fill="auto" w:val="clear"/>
                <w:lang w:val="pt-BR" w:eastAsia="pt-BR" w:bidi="ar-SA"/>
              </w:rPr>
            </w:pPr>
            <w:r>
              <w:rPr>
                <w:rFonts w:eastAsia="Arial" w:cs="Arial" w:ascii="Calibri" w:hAnsi="Calibri"/>
                <w:b w:val="false"/>
                <w:bCs w:val="false"/>
                <w:i w:val="false"/>
                <w:iCs/>
                <w:color w:val="000000"/>
                <w:spacing w:val="-2"/>
                <w:kern w:val="0"/>
                <w:sz w:val="24"/>
                <w:szCs w:val="24"/>
                <w:shd w:fill="auto" w:val="clear"/>
                <w:lang w:val="pt-BR" w:eastAsia="pt-BR" w:bidi="ar-SA"/>
              </w:rPr>
              <w:t>EDSON VANDER DE BARROS JOSÉ MARIA</w:t>
            </w:r>
          </w:p>
          <w:p>
            <w:pPr>
              <w:pStyle w:val="TableParagraph"/>
              <w:widowControl w:val="false"/>
              <w:bidi w:val="0"/>
              <w:spacing w:lineRule="atLeast" w:line="260" w:before="0" w:after="0"/>
              <w:ind w:left="0" w:right="397" w:hanging="0"/>
              <w:jc w:val="center"/>
              <w:rPr>
                <w:rFonts w:ascii="Calibri" w:hAnsi="Calibri" w:eastAsia="Arial" w:cs="Arial"/>
                <w:b w:val="false"/>
                <w:b w:val="false"/>
                <w:bCs w:val="false"/>
                <w:i w:val="false"/>
                <w:i w:val="false"/>
                <w:iCs/>
                <w:color w:val="auto"/>
                <w:kern w:val="0"/>
                <w:sz w:val="24"/>
                <w:szCs w:val="24"/>
                <w:shd w:fill="auto" w:val="clear"/>
                <w:lang w:val="pt-BR" w:eastAsia="pt-BR" w:bidi="ar-SA"/>
              </w:rPr>
            </w:pPr>
            <w:r>
              <w:rPr>
                <w:rFonts w:eastAsia="Arial" w:cs="Arial" w:ascii="Calibri" w:hAnsi="Calibri"/>
                <w:b w:val="false"/>
                <w:bCs w:val="false"/>
                <w:i w:val="false"/>
                <w:iCs/>
                <w:color w:val="000000"/>
                <w:kern w:val="0"/>
                <w:sz w:val="24"/>
                <w:szCs w:val="24"/>
                <w:shd w:fill="auto" w:val="clear"/>
                <w:lang w:val="pt-BR" w:eastAsia="pt-BR" w:bidi="ar-SA"/>
              </w:rPr>
              <w:t xml:space="preserve">Terceiro-Sargento (MO) </w:t>
            </w:r>
          </w:p>
          <w:p>
            <w:pPr>
              <w:pStyle w:val="TableParagraph"/>
              <w:widowControl w:val="false"/>
              <w:tabs>
                <w:tab w:val="clear" w:pos="720"/>
                <w:tab w:val="left" w:pos="1709" w:leader="none"/>
              </w:tabs>
              <w:bidi w:val="0"/>
              <w:spacing w:lineRule="atLeast" w:line="260" w:before="0" w:after="0"/>
              <w:ind w:left="0" w:right="397" w:hanging="0"/>
              <w:jc w:val="center"/>
              <w:rPr>
                <w:rFonts w:ascii="Calibri" w:hAnsi="Calibri" w:eastAsia="Arial" w:cs="Arial"/>
                <w:b w:val="false"/>
                <w:b w:val="false"/>
                <w:bCs w:val="false"/>
                <w:i w:val="false"/>
                <w:i w:val="false"/>
                <w:iCs/>
                <w:color w:val="auto"/>
                <w:kern w:val="0"/>
                <w:sz w:val="24"/>
                <w:szCs w:val="24"/>
                <w:shd w:fill="auto" w:val="clear"/>
                <w:lang w:val="pt-BR" w:eastAsia="pt-BR" w:bidi="ar-SA"/>
              </w:rPr>
            </w:pPr>
            <w:r>
              <w:rPr>
                <w:rFonts w:eastAsia="Arial" w:cs="Arial" w:ascii="Calibri" w:hAnsi="Calibri"/>
                <w:b w:val="false"/>
                <w:bCs w:val="false"/>
                <w:i w:val="false"/>
                <w:iCs/>
                <w:color w:val="000000"/>
                <w:spacing w:val="-12"/>
                <w:kern w:val="0"/>
                <w:sz w:val="24"/>
                <w:szCs w:val="24"/>
                <w:shd w:fill="auto" w:val="clear"/>
                <w:lang w:val="pt-BR" w:eastAsia="pt-BR" w:bidi="ar-SA"/>
              </w:rPr>
              <w:t xml:space="preserve">Encarregado </w:t>
            </w:r>
            <w:r>
              <w:rPr>
                <w:rFonts w:eastAsia="Arial" w:cs="Arial" w:ascii="Calibri" w:hAnsi="Calibri"/>
                <w:b w:val="false"/>
                <w:bCs w:val="false"/>
                <w:i w:val="false"/>
                <w:iCs/>
                <w:color w:val="000000"/>
                <w:spacing w:val="-2"/>
                <w:kern w:val="0"/>
                <w:sz w:val="24"/>
                <w:szCs w:val="24"/>
                <w:shd w:fill="auto" w:val="clear"/>
                <w:lang w:val="pt-BR" w:eastAsia="pt-BR" w:bidi="ar-SA"/>
              </w:rPr>
              <w:t>das</w:t>
            </w:r>
            <w:r>
              <w:rPr>
                <w:rFonts w:eastAsia="Arial" w:cs="Arial" w:ascii="Calibri" w:hAnsi="Calibri"/>
                <w:b w:val="false"/>
                <w:bCs w:val="false"/>
                <w:i w:val="false"/>
                <w:iCs/>
                <w:color w:val="000000"/>
                <w:spacing w:val="-10"/>
                <w:kern w:val="0"/>
                <w:sz w:val="24"/>
                <w:szCs w:val="24"/>
                <w:shd w:fill="auto" w:val="clear"/>
                <w:lang w:val="pt-BR" w:eastAsia="pt-BR" w:bidi="ar-SA"/>
              </w:rPr>
              <w:t xml:space="preserve"> </w:t>
            </w:r>
            <w:r>
              <w:rPr>
                <w:rFonts w:eastAsia="Arial" w:cs="Arial" w:ascii="Calibri" w:hAnsi="Calibri"/>
                <w:b w:val="false"/>
                <w:bCs w:val="false"/>
                <w:i w:val="false"/>
                <w:iCs/>
                <w:color w:val="000000"/>
                <w:spacing w:val="-2"/>
                <w:kern w:val="0"/>
                <w:sz w:val="24"/>
                <w:szCs w:val="24"/>
                <w:shd w:fill="auto" w:val="clear"/>
                <w:lang w:val="pt-BR" w:eastAsia="pt-BR" w:bidi="ar-SA"/>
              </w:rPr>
              <w:t>Viaturas</w:t>
            </w:r>
          </w:p>
        </w:tc>
      </w:tr>
    </w:tbl>
    <w:p>
      <w:pPr>
        <w:pStyle w:val="Normal"/>
        <w:numPr>
          <w:ilvl w:val="0"/>
          <w:numId w:val="0"/>
        </w:numPr>
        <w:ind w:left="357" w:hanging="0"/>
        <w:jc w:val="center"/>
        <w:outlineLvl w:val="0"/>
        <w:rPr>
          <w:rFonts w:ascii="Calibri" w:hAnsi="Calibri" w:eastAsia="Arial" w:cs="Arial"/>
          <w:b w:val="false"/>
          <w:b w:val="false"/>
          <w:bCs w:val="false"/>
          <w:i w:val="false"/>
          <w:i w:val="false"/>
          <w:iCs/>
          <w:color w:val="auto"/>
          <w:kern w:val="0"/>
          <w:sz w:val="24"/>
          <w:szCs w:val="24"/>
          <w:shd w:fill="auto" w:val="clear"/>
          <w:lang w:val="pt-BR" w:eastAsia="pt-BR" w:bidi="ar-SA"/>
        </w:rPr>
      </w:pPr>
      <w:r>
        <w:rPr>
          <w:rFonts w:eastAsia="Arial" w:cs="Arial" w:ascii="Calibri" w:hAnsi="Calibri"/>
          <w:b w:val="false"/>
          <w:bCs w:val="false"/>
          <w:i w:val="false"/>
          <w:iCs/>
          <w:color w:val="000000"/>
          <w:kern w:val="0"/>
          <w:sz w:val="24"/>
          <w:szCs w:val="24"/>
          <w:shd w:fill="auto" w:val="clear"/>
          <w:lang w:val="pt-BR" w:eastAsia="pt-BR" w:bidi="ar-SA"/>
        </w:rPr>
      </w:r>
      <w:r>
        <w:br w:type="page"/>
      </w:r>
    </w:p>
    <w:p>
      <w:pPr>
        <w:pStyle w:val="Normal"/>
        <w:numPr>
          <w:ilvl w:val="0"/>
          <w:numId w:val="0"/>
        </w:numPr>
        <w:ind w:left="357" w:hanging="0"/>
        <w:jc w:val="center"/>
        <w:outlineLvl w:val="0"/>
        <w:rPr>
          <w:rFonts w:eastAsia="Arial" w:cs="Arial"/>
        </w:rPr>
      </w:pPr>
      <w:r>
        <w:rPr>
          <w:rFonts w:eastAsia="Arial" w:cs="Arial"/>
        </w:rPr>
      </w:r>
    </w:p>
    <w:p>
      <w:pPr>
        <w:pStyle w:val="Normal"/>
        <w:numPr>
          <w:ilvl w:val="0"/>
          <w:numId w:val="0"/>
        </w:numPr>
        <w:ind w:left="357" w:hanging="0"/>
        <w:jc w:val="center"/>
        <w:outlineLvl w:val="0"/>
        <w:rPr>
          <w:rFonts w:ascii="Calibri" w:hAnsi="Calibri"/>
          <w:sz w:val="24"/>
          <w:szCs w:val="24"/>
        </w:rPr>
      </w:pPr>
      <w:r>
        <w:rPr>
          <w:rFonts w:ascii="Calibri" w:hAnsi="Calibri"/>
          <w:sz w:val="24"/>
          <w:szCs w:val="24"/>
        </w:rPr>
      </w:r>
    </w:p>
    <w:p>
      <w:pPr>
        <w:pStyle w:val="Normal"/>
        <w:numPr>
          <w:ilvl w:val="0"/>
          <w:numId w:val="0"/>
        </w:numPr>
        <w:ind w:left="357" w:hanging="0"/>
        <w:jc w:val="center"/>
        <w:outlineLvl w:val="0"/>
        <w:rPr>
          <w:rFonts w:eastAsia="MS Mincho" w:cs="Arial"/>
          <w:b/>
          <w:b/>
          <w:color w:val="000000" w:themeColor="text1"/>
        </w:rPr>
      </w:pPr>
      <w:r>
        <w:rPr>
          <w:rFonts w:eastAsia="MS Mincho" w:cs="Arial"/>
          <w:b/>
          <w:color w:val="000000" w:themeColor="text1"/>
        </w:rPr>
      </w:r>
    </w:p>
    <w:p>
      <w:pPr>
        <w:pStyle w:val="Normal"/>
        <w:numPr>
          <w:ilvl w:val="0"/>
          <w:numId w:val="0"/>
        </w:numPr>
        <w:ind w:left="0" w:hanging="0"/>
        <w:jc w:val="center"/>
        <w:outlineLvl w:val="0"/>
        <w:rPr>
          <w:rFonts w:ascii="Calibri" w:hAnsi="Calibri"/>
          <w:sz w:val="24"/>
          <w:szCs w:val="24"/>
        </w:rPr>
      </w:pPr>
      <w:r>
        <w:rPr>
          <w:rFonts w:cs="Arial" w:ascii="Calibri" w:hAnsi="Calibri"/>
          <w:b/>
          <w:sz w:val="24"/>
          <w:szCs w:val="24"/>
        </w:rPr>
        <w:t>ANEXO I</w:t>
      </w:r>
    </w:p>
    <w:p>
      <w:pPr>
        <w:pStyle w:val="Normal"/>
        <w:spacing w:before="0" w:after="360"/>
        <w:jc w:val="center"/>
        <w:rPr>
          <w:rFonts w:ascii="Calibri" w:hAnsi="Calibri"/>
          <w:sz w:val="24"/>
          <w:szCs w:val="24"/>
        </w:rPr>
      </w:pPr>
      <w:r>
        <w:rPr>
          <w:rFonts w:cs="Arial" w:ascii="Calibri" w:hAnsi="Calibri"/>
          <w:b/>
          <w:sz w:val="24"/>
          <w:szCs w:val="24"/>
        </w:rPr>
        <w:t xml:space="preserve">TERMO DE CIÊNCIA E </w:t>
      </w:r>
      <w:commentRangeStart w:id="51"/>
      <w:r>
        <w:rPr>
          <w:rFonts w:cs="Arial" w:ascii="Calibri" w:hAnsi="Calibri"/>
          <w:b/>
          <w:sz w:val="24"/>
          <w:szCs w:val="24"/>
        </w:rPr>
        <w:t>CONCORDÂNCIA</w:t>
      </w:r>
      <w:commentRangeEnd w:id="51"/>
      <w:r>
        <w:commentReference w:id="51"/>
      </w:r>
      <w:r>
        <w:rPr>
          <w:rFonts w:cs="Arial" w:ascii="Calibri" w:hAnsi="Calibri"/>
          <w:b/>
          <w:sz w:val="24"/>
          <w:szCs w:val="24"/>
        </w:rPr>
      </w:r>
    </w:p>
    <w:p>
      <w:pPr>
        <w:pStyle w:val="Normal"/>
        <w:spacing w:lineRule="auto" w:line="276" w:before="120" w:after="120"/>
        <w:ind w:firstLine="1134"/>
        <w:jc w:val="both"/>
        <w:rPr>
          <w:rFonts w:ascii="Calibri" w:hAnsi="Calibri"/>
          <w:sz w:val="24"/>
          <w:szCs w:val="24"/>
        </w:rPr>
      </w:pPr>
      <w:r>
        <w:rPr>
          <w:rFonts w:cs="Arial" w:ascii="Calibri" w:hAnsi="Calibri"/>
          <w:sz w:val="24"/>
          <w:szCs w:val="24"/>
        </w:rPr>
        <w:t>Por meio deste instrumento, .....................</w:t>
      </w:r>
      <w:r>
        <w:rPr>
          <w:rFonts w:cs="Arial" w:ascii="Calibri" w:hAnsi="Calibri"/>
          <w:color w:val="FF0000"/>
          <w:sz w:val="24"/>
          <w:szCs w:val="24"/>
        </w:rPr>
        <w:t xml:space="preserve"> </w:t>
      </w:r>
      <w:r>
        <w:rPr>
          <w:rFonts w:cs="Arial" w:ascii="Calibri" w:hAnsi="Calibri"/>
          <w:i/>
          <w:iCs/>
          <w:color w:val="FF0000"/>
          <w:sz w:val="24"/>
          <w:szCs w:val="24"/>
        </w:rPr>
        <w:t>(identificar o Contratado)</w:t>
      </w:r>
      <w:r>
        <w:rPr>
          <w:rFonts w:cs="Arial" w:ascii="Calibri" w:hAnsi="Calibri"/>
          <w:color w:val="FF0000"/>
          <w:sz w:val="24"/>
          <w:szCs w:val="24"/>
        </w:rPr>
        <w:t xml:space="preserve"> </w:t>
      </w:r>
      <w:r>
        <w:rPr>
          <w:rFonts w:cs="Arial" w:ascii="Calibri" w:hAnsi="Calibri"/>
          <w:sz w:val="24"/>
          <w:szCs w:val="24"/>
        </w:rPr>
        <w:t>declara que</w:t>
      </w:r>
      <w:r>
        <w:rPr>
          <w:rFonts w:cs="Arial" w:ascii="Calibri" w:hAnsi="Calibri"/>
          <w:color w:val="FF0000"/>
          <w:sz w:val="24"/>
          <w:szCs w:val="24"/>
        </w:rPr>
        <w:t xml:space="preserve"> </w:t>
      </w:r>
      <w:r>
        <w:rPr>
          <w:rFonts w:cs="Arial" w:ascii="Calibri" w:hAnsi="Calibri"/>
          <w:sz w:val="24"/>
          <w:szCs w:val="24"/>
        </w:rPr>
        <w:t>está</w:t>
      </w:r>
      <w:r>
        <w:rPr>
          <w:rFonts w:cs="Arial" w:ascii="Calibri" w:hAnsi="Calibri"/>
          <w:color w:val="FF0000"/>
          <w:sz w:val="24"/>
          <w:szCs w:val="24"/>
        </w:rPr>
        <w:t xml:space="preserve"> </w:t>
      </w:r>
      <w:r>
        <w:rPr>
          <w:rFonts w:cs="Arial" w:ascii="Calibri" w:hAnsi="Calibri"/>
          <w:sz w:val="24"/>
          <w:szCs w:val="24"/>
        </w:rPr>
        <w:t>ciente e concorda com as disposições e obrigações previstas no</w:t>
      </w:r>
      <w:r>
        <w:rPr>
          <w:rFonts w:cs="Arial" w:ascii="Calibri" w:hAnsi="Calibri"/>
          <w:i/>
          <w:iCs/>
          <w:color w:val="FF0000"/>
          <w:sz w:val="24"/>
          <w:szCs w:val="24"/>
        </w:rPr>
        <w:t xml:space="preserve"> Edital</w:t>
      </w:r>
      <w:r>
        <w:rPr>
          <w:rFonts w:cs="Arial" w:ascii="Calibri" w:hAnsi="Calibri"/>
          <w:sz w:val="24"/>
          <w:szCs w:val="24"/>
        </w:rPr>
        <w:t xml:space="preserve">, no Termo de Referência e nos demais anexos a que se refere o </w:t>
      </w:r>
      <w:r>
        <w:rPr>
          <w:rFonts w:cs="Arial" w:ascii="Calibri" w:hAnsi="Calibri"/>
          <w:i/>
          <w:iCs/>
          <w:color w:val="FF0000"/>
          <w:sz w:val="24"/>
          <w:szCs w:val="24"/>
        </w:rPr>
        <w:t>Pregão</w:t>
      </w:r>
      <w:r>
        <w:rPr>
          <w:rFonts w:cs="Arial" w:ascii="Calibri" w:hAnsi="Calibri"/>
          <w:sz w:val="24"/>
          <w:szCs w:val="24"/>
        </w:rPr>
        <w:t xml:space="preserve"> nº 9002/20</w:t>
      </w:r>
      <w:r>
        <w:rPr>
          <w:rFonts w:cs="Arial" w:ascii="Calibri" w:hAnsi="Calibri"/>
          <w:sz w:val="24"/>
          <w:szCs w:val="24"/>
          <w:lang w:eastAsia="pt-BR"/>
        </w:rPr>
        <w:t>26</w:t>
      </w:r>
      <w:r>
        <w:rPr>
          <w:rFonts w:cs="Arial" w:ascii="Calibri" w:hAnsi="Calibri"/>
          <w:sz w:val="24"/>
          <w:szCs w:val="24"/>
        </w:rPr>
        <w:t>, bem como que se responsabiliza, sob as penas da Lei, pela veracidade e legitimidade das informações e documentos apresentados durante o processo de contratação.</w:t>
      </w:r>
    </w:p>
    <w:p>
      <w:pPr>
        <w:pStyle w:val="Normal"/>
        <w:spacing w:before="360" w:after="0"/>
        <w:jc w:val="center"/>
        <w:rPr>
          <w:rFonts w:ascii="Calibri" w:hAnsi="Calibri"/>
          <w:sz w:val="24"/>
          <w:szCs w:val="24"/>
        </w:rPr>
      </w:pPr>
      <w:r>
        <w:rPr>
          <w:rFonts w:cs="Arial" w:ascii="Calibri" w:hAnsi="Calibri"/>
          <w:sz w:val="24"/>
          <w:szCs w:val="24"/>
        </w:rPr>
        <w:t xml:space="preserve">Local-UF, </w:t>
      </w:r>
      <w:r>
        <w:rPr>
          <w:rFonts w:cs="Arial" w:ascii="Calibri" w:hAnsi="Calibri"/>
          <w:color w:val="FF0000"/>
          <w:sz w:val="24"/>
          <w:szCs w:val="24"/>
        </w:rPr>
        <w:t>........</w:t>
      </w:r>
      <w:r>
        <w:rPr>
          <w:rFonts w:cs="Arial" w:ascii="Calibri" w:hAnsi="Calibri"/>
          <w:sz w:val="24"/>
          <w:szCs w:val="24"/>
        </w:rPr>
        <w:t xml:space="preserve"> de </w:t>
      </w:r>
      <w:r>
        <w:rPr>
          <w:rFonts w:cs="Arial" w:ascii="Calibri" w:hAnsi="Calibri"/>
          <w:color w:val="FF0000"/>
          <w:sz w:val="24"/>
          <w:szCs w:val="24"/>
        </w:rPr>
        <w:t>...................</w:t>
      </w:r>
      <w:r>
        <w:rPr>
          <w:rFonts w:cs="Arial" w:ascii="Calibri" w:hAnsi="Calibri"/>
          <w:sz w:val="24"/>
          <w:szCs w:val="24"/>
        </w:rPr>
        <w:t xml:space="preserve"> de 20</w:t>
      </w:r>
      <w:r>
        <w:rPr>
          <w:rFonts w:cs="Arial" w:ascii="Calibri" w:hAnsi="Calibri"/>
          <w:color w:val="FF0000"/>
          <w:sz w:val="24"/>
          <w:szCs w:val="24"/>
        </w:rPr>
        <w:t xml:space="preserve">.... </w:t>
      </w:r>
      <w:r>
        <w:rPr>
          <w:rFonts w:cs="Arial" w:ascii="Calibri" w:hAnsi="Calibri"/>
          <w:sz w:val="24"/>
          <w:szCs w:val="24"/>
        </w:rPr>
        <w:t>.</w:t>
      </w:r>
    </w:p>
    <w:p>
      <w:pPr>
        <w:pStyle w:val="Normal"/>
        <w:spacing w:before="480" w:after="0"/>
        <w:jc w:val="center"/>
        <w:rPr>
          <w:rFonts w:ascii="Calibri" w:hAnsi="Calibri"/>
          <w:sz w:val="24"/>
          <w:szCs w:val="24"/>
        </w:rPr>
      </w:pPr>
      <w:r>
        <w:rPr>
          <w:rFonts w:cs="Arial" w:ascii="Calibri" w:hAnsi="Calibri"/>
          <w:sz w:val="24"/>
          <w:szCs w:val="24"/>
        </w:rPr>
        <w:t>__________________________________________</w:t>
      </w:r>
    </w:p>
    <w:p>
      <w:pPr>
        <w:pStyle w:val="Normal"/>
        <w:jc w:val="center"/>
        <w:rPr>
          <w:rFonts w:ascii="Calibri" w:hAnsi="Calibri"/>
          <w:sz w:val="24"/>
          <w:szCs w:val="24"/>
        </w:rPr>
      </w:pPr>
      <w:r>
        <w:rPr>
          <w:rFonts w:cs="Arial" w:ascii="Calibri" w:hAnsi="Calibri"/>
          <w:sz w:val="24"/>
          <w:szCs w:val="24"/>
        </w:rPr>
        <w:t xml:space="preserve">(Nome </w:t>
      </w:r>
      <w:r>
        <w:rPr>
          <w:rFonts w:ascii="Calibri" w:hAnsi="Calibri"/>
          <w:i/>
          <w:color w:val="FF0000"/>
          <w:sz w:val="24"/>
          <w:szCs w:val="24"/>
        </w:rPr>
        <w:t>e Cargo do Representante Legal</w:t>
      </w:r>
      <w:r>
        <w:rPr>
          <w:rFonts w:cs="Arial" w:ascii="Calibri" w:hAnsi="Calibri"/>
          <w:sz w:val="24"/>
          <w:szCs w:val="24"/>
        </w:rPr>
        <w:t>)</w:t>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134" w:right="1134" w:gutter="0" w:header="709" w:top="1418" w:footer="709" w:bottom="1418"/>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comment w:id="1" w:author="Autor" w:date="0-00-00T00:00:00Z" w:initials="A">
    <w:p>
      <w:r>
        <w:rPr>
          <w:rFonts w:ascii="Liberation Serif" w:hAnsi="Liberation Serif" w:eastAsia="Segoe UI"/>
          <w:b/>
          <w:bCs/>
          <w:i/>
          <w:iCs/>
          <w:color w:val="000000"/>
          <w:lang w:val="en-US" w:eastAsia="en-US" w:bidi="en-US"/>
        </w:rPr>
        <w:t>ORIENTAÇÕES PARA USO DO MODELO – LEITURA OBRIGATÓRIA</w:t>
      </w:r>
    </w:p>
    <w:p>
      <w:r>
        <w:rPr>
          <w:rFonts w:ascii="Liberation Serif" w:hAnsi="Liberation Serif" w:eastAsia="Segoe UI"/>
          <w:b/>
          <w:bCs/>
          <w:i/>
          <w:iCs/>
          <w:color w:val="000000"/>
          <w:lang w:val="en-US" w:eastAsia="en-US" w:bidi="en-US"/>
        </w:rPr>
        <w:t xml:space="preserve">1) </w:t>
      </w:r>
      <w:r>
        <w:rPr>
          <w:rFonts w:ascii="Liberation Serif" w:hAnsi="Liberation Serif" w:eastAsia="Segoe UI"/>
          <w:i/>
          <w:iCs/>
          <w:color w:val="000000"/>
          <w:lang w:val="en-US" w:eastAsia="en-US" w:bidi="en-US"/>
        </w:rPr>
        <w:t xml:space="preserve">O presente modelo de Termo de Referência procura fornecer um ponto de partida para a definição do objeto e condições da contratação. </w:t>
      </w:r>
      <w:r>
        <w:rPr>
          <w:rFonts w:ascii="Liberation Serif" w:hAnsi="Liberation Serif" w:eastAsia="Segoe UI"/>
          <w:b/>
          <w:bCs/>
          <w:i/>
          <w:iCs/>
          <w:color w:val="000000"/>
          <w:lang w:val="en-US" w:eastAsia="en-US" w:bidi="en-US"/>
        </w:rPr>
        <w:t>Este é o documento que mais terá variação de conteúdo, de acordo com as peculiaridades da demanda da Administração e do objeto a ser contratado.</w:t>
      </w:r>
      <w:r>
        <w:rPr>
          <w:rFonts w:ascii="Liberation Serif" w:hAnsi="Liberation Serif" w:eastAsia="Segoe UI"/>
          <w:i/>
          <w:iCs/>
          <w:color w:val="000000"/>
          <w:lang w:val="en-US" w:eastAsia="en-US" w:bidi="en-US"/>
        </w:rPr>
        <w:t xml:space="preserve"> Assim, a adaptação do texto deverá ser feita à luz dos pontos fundamentais da contratação, sempre de forma clara e objetiva.</w:t>
      </w:r>
    </w:p>
    <w:p>
      <w:r>
        <w:rPr>
          <w:rFonts w:ascii="Liberation Serif" w:hAnsi="Liberation Serif" w:eastAsia="Segoe UI"/>
          <w:b/>
          <w:bCs/>
          <w:i/>
          <w:iCs/>
          <w:color w:val="000000"/>
          <w:lang w:val="en-US" w:eastAsia="en-US" w:bidi="en-US"/>
        </w:rPr>
        <w:t xml:space="preserve">2) </w:t>
      </w:r>
      <w:r>
        <w:rPr>
          <w:rFonts w:ascii="Liberation Serif" w:hAnsi="Liberation Serif" w:eastAsia="Segoe UI"/>
          <w:i/>
          <w:iCs/>
          <w:color w:val="000000"/>
          <w:lang w:val="en-US" w:eastAsia="en-US" w:bidi="en-US"/>
        </w:rPr>
        <w:t xml:space="preserve">A redação em preto consiste no que se espera ser invariável. Ela até pode sofrer modificações a depender do caso concreto, mas não são disposições feitas para variar. Por essa razão, </w:t>
      </w:r>
      <w:r>
        <w:rPr>
          <w:rFonts w:ascii="Liberation Serif" w:hAnsi="Liberation Serif" w:eastAsia="Segoe UI"/>
          <w:b/>
          <w:bCs/>
          <w:i/>
          <w:iCs/>
          <w:color w:val="000000"/>
          <w:lang w:val="en-US" w:eastAsia="en-US" w:bidi="en-US"/>
        </w:rPr>
        <w:t>quaisquer modificações nas partes em preto, sem marcação de itálico, devem necessariamente ser justificadas nos autos</w:t>
      </w:r>
      <w:r>
        <w:rPr>
          <w:rFonts w:ascii="Liberation Serif" w:hAnsi="Liberation Serif" w:eastAsia="Segoe UI"/>
          <w:i/>
          <w:iCs/>
          <w:color w:val="000000"/>
          <w:lang w:val="en-US" w:eastAsia="en-US" w:bidi="en-US"/>
        </w:rPr>
        <w:t>, sem prejuízo de eventual consulta ao órgão de assessoramento jurídico respectivo, a depender da matéria.</w:t>
      </w:r>
    </w:p>
    <w:p>
      <w:r>
        <w:rPr>
          <w:rFonts w:ascii="Liberation Serif" w:hAnsi="Liberation Serif" w:eastAsia="Segoe UI"/>
          <w:b/>
          <w:bCs/>
          <w:i/>
          <w:iCs/>
          <w:color w:val="000000"/>
          <w:lang w:val="en-US" w:eastAsia="en-US" w:bidi="en-US"/>
        </w:rPr>
        <w:t>3) Os itens deste modelo destacados em vermelho itálico devem ser preenchidos ou adotados pelo órgão ou entidade pública contratante segundo critérios de oportunidade e conveniência</w:t>
      </w:r>
      <w:r>
        <w:rPr>
          <w:rFonts w:ascii="Liberation Serif" w:hAnsi="Liberation Serif" w:eastAsia="Segoe UI"/>
          <w:i/>
          <w:iCs/>
          <w:color w:val="000000"/>
          <w:lang w:val="en-US" w:eastAsia="en-US" w:bidi="en-US"/>
        </w:rPr>
        <w:t>, de acordo com as peculiaridades do objeto e cuidando-se para que sejam reproduzidas as mesmas definições nos demais instrumentos da contratação (minuta de Edital e de Contrato), para que não conflitem. São previsões feitas para variarem. Eventuais justificativas podem ser exigidas a depender do caso.</w:t>
      </w:r>
    </w:p>
    <w:p>
      <w:r>
        <w:rPr>
          <w:rFonts w:ascii="Liberation Serif" w:hAnsi="Liberation Serif" w:eastAsia="Segoe UI"/>
          <w:b/>
          <w:bCs/>
          <w:i/>
          <w:iCs/>
          <w:color w:val="000000"/>
          <w:lang w:val="en-US" w:eastAsia="en-US" w:bidi="en-US"/>
        </w:rPr>
        <w:t>4) Alguns itens receberam notas explicativas, destacadas para compreensão do agente ou setor responsável pela elaboração do Termo de Referência</w:t>
      </w:r>
      <w:r>
        <w:rPr>
          <w:rFonts w:ascii="Liberation Serif" w:hAnsi="Liberation Serif" w:eastAsia="Segoe UI"/>
          <w:i/>
          <w:iCs/>
          <w:color w:val="000000"/>
          <w:lang w:val="en-US" w:eastAsia="en-US" w:bidi="en-US"/>
        </w:rPr>
        <w:t>, que deverão ser devidamente suprimidas ao se finalizar o documento na versão original.</w:t>
      </w:r>
    </w:p>
    <w:p>
      <w:r>
        <w:rPr>
          <w:rFonts w:ascii="Liberation Serif" w:hAnsi="Liberation Serif" w:eastAsia="Segoe UI"/>
          <w:b/>
          <w:bCs/>
          <w:i/>
          <w:iCs/>
          <w:color w:val="000000"/>
          <w:lang w:val="en-US" w:eastAsia="en-US" w:bidi="en-US"/>
        </w:rPr>
        <w:t>5) Recomenda-se indicar no processo a versão (mês e ano) utilizada para elaboração da minuta</w:t>
      </w:r>
      <w:r>
        <w:rPr>
          <w:rFonts w:ascii="Liberation Serif" w:hAnsi="Liberation Serif" w:eastAsia="Segoe UI"/>
          <w:i/>
          <w:iCs/>
          <w:color w:val="000000"/>
          <w:lang w:val="en-US" w:eastAsia="en-US" w:bidi="en-US"/>
        </w:rPr>
        <w:t>,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em eventual checagem.</w:t>
      </w:r>
    </w:p>
    <w:p>
      <w:r>
        <w:rPr>
          <w:rFonts w:ascii="Liberation Serif" w:hAnsi="Liberation Serif" w:eastAsia="Segoe UI"/>
          <w:b/>
          <w:bCs/>
          <w:i/>
          <w:iCs/>
          <w:color w:val="000000"/>
          <w:lang w:val="en-US" w:eastAsia="en-US" w:bidi="en-US"/>
        </w:rPr>
        <w:t xml:space="preserve">6) </w:t>
      </w:r>
      <w:r>
        <w:rPr>
          <w:rFonts w:ascii="Liberation Serif" w:hAnsi="Liberation Serif" w:eastAsia="Segoe UI"/>
          <w:i/>
          <w:iCs/>
          <w:color w:val="000000"/>
          <w:lang w:val="en-US" w:eastAsia="en-US" w:bidi="en-US"/>
        </w:rPr>
        <w:t xml:space="preserve">O Termo de Referência deve ser elaborado também no Sistema TR Digital ou em ferramenta informatizada própria (art. 4º da </w:t>
      </w:r>
      <w:r>
        <w:rPr>
          <w:rFonts w:ascii="Liberation Serif" w:hAnsi="Liberation Serif" w:eastAsia="Segoe UI"/>
          <w:i/>
          <w:iCs/>
          <w:lang w:val="en-US" w:eastAsia="en-US" w:bidi="en-US"/>
        </w:rPr>
        <w:t>IN Seges/ME nº 81, de 25 de novembro de 2022).</w:t>
      </w:r>
    </w:p>
    <w:p>
      <w:r>
        <w:rPr>
          <w:rFonts w:ascii="Liberation Serif" w:hAnsi="Liberation Serif" w:eastAsia="Segoe UI"/>
          <w:b/>
          <w:bCs/>
          <w:i/>
          <w:iCs/>
          <w:color w:val="000000"/>
          <w:lang w:val="en-US" w:eastAsia="en-US" w:bidi="en-US"/>
        </w:rPr>
        <w:t xml:space="preserve">7) </w:t>
      </w:r>
      <w:r>
        <w:rPr>
          <w:rFonts w:ascii="Liberation Serif" w:hAnsi="Liberation Serif" w:eastAsia="Segoe UI"/>
          <w:i/>
          <w:iCs/>
          <w:color w:val="000000"/>
          <w:lang w:val="en-US" w:eastAsia="en-US" w:bidi="en-US"/>
        </w:rPr>
        <w:t>A elaboração do TR deve levar em conta o art. 3º, inciso I, da</w:t>
      </w:r>
      <w:r>
        <w:rPr>
          <w:rFonts w:ascii="Liberation Serif" w:hAnsi="Liberation Serif" w:eastAsia="Segoe UI"/>
          <w:i/>
          <w:iCs/>
          <w:lang w:val="en-US" w:eastAsia="en-US" w:bidi="en-US"/>
        </w:rPr>
        <w:t xml:space="preserve"> IN Seges/ME nº 81, de 2022, </w:t>
      </w:r>
      <w:r>
        <w:rPr>
          <w:rFonts w:ascii="Liberation Serif" w:hAnsi="Liberation Serif" w:eastAsia="Segoe UI"/>
          <w:i/>
          <w:iCs/>
          <w:color w:val="000000"/>
          <w:lang w:val="en-US" w:eastAsia="en-US" w:bidi="en-US"/>
        </w:rPr>
        <w:t>que traz a seguinte definição de TR: “documento necessário para a contratação de bens e serviços, que deve conter os parâmetros e elementos descritivos estabelecidos no art. 9º, sendo documento constitutivo da fase preparatória da instrução do processo de licitação”.</w:t>
      </w:r>
    </w:p>
    <w:p>
      <w:r>
        <w:rPr>
          <w:rFonts w:ascii="Liberation Serif" w:hAnsi="Liberation Serif" w:eastAsia="Segoe UI"/>
          <w:b/>
          <w:bCs/>
          <w:i/>
          <w:iCs/>
          <w:color w:val="000000"/>
          <w:lang w:val="en-US" w:eastAsia="en-US" w:bidi="en-US"/>
        </w:rPr>
        <w:t xml:space="preserve">8) </w:t>
      </w:r>
      <w:r>
        <w:rPr>
          <w:rFonts w:ascii="Liberation Serif" w:hAnsi="Liberation Serif" w:eastAsia="Segoe UI"/>
          <w:i/>
          <w:iCs/>
          <w:color w:val="000000"/>
          <w:lang w:val="en-US" w:eastAsia="en-US" w:bidi="en-US"/>
        </w:rPr>
        <w:t>A não utilização dos m</w:t>
      </w:r>
      <w:r>
        <w:rPr>
          <w:rFonts w:ascii="Liberation Serif" w:hAnsi="Liberation Serif" w:eastAsia="Segoe UI"/>
          <w:i/>
          <w:iCs/>
          <w:lang w:val="en-US" w:eastAsia="en-US" w:bidi="en-US"/>
        </w:rPr>
        <w:t>odelos de TR instituídos pela Secretaria de Gestão e Inovação, do Ministério da Gestão e da Inovação em Serviços Públicos de</w:t>
      </w:r>
      <w:r>
        <w:rPr>
          <w:rFonts w:ascii="Liberation Serif" w:hAnsi="Liberation Serif" w:eastAsia="Segoe UI"/>
          <w:i/>
          <w:iCs/>
          <w:color w:val="000000"/>
          <w:lang w:val="en-US" w:eastAsia="en-US" w:bidi="en-US"/>
        </w:rPr>
        <w:t xml:space="preserve">ve ser justificada por escrito, com anexação ao respectivo processo de contratação, conforme art. 19, §2º, da Lei nº 14.133, de 2021 e art. 9º, §3º da </w:t>
      </w:r>
      <w:r>
        <w:rPr>
          <w:rFonts w:ascii="Liberation Serif" w:hAnsi="Liberation Serif" w:eastAsia="Segoe UI"/>
          <w:i/>
          <w:iCs/>
          <w:lang w:val="en-US" w:eastAsia="en-US" w:bidi="en-US"/>
        </w:rPr>
        <w:t xml:space="preserve">IN </w:t>
      </w:r>
      <w:r>
        <w:rPr>
          <w:rFonts w:ascii="Liberation Serif" w:hAnsi="Liberation Serif" w:eastAsia="Segoe UI"/>
          <w:i/>
          <w:iCs/>
          <w:color w:val="000000"/>
          <w:lang w:val="en-US" w:eastAsia="en-US" w:bidi="en-US"/>
        </w:rPr>
        <w:t>Seges/ME nº 81, de 2022.</w:t>
      </w:r>
    </w:p>
    <w:p>
      <w:r>
        <w:rPr>
          <w:rFonts w:ascii="Liberation Serif" w:hAnsi="Liberation Serif" w:eastAsia="Segoe UI"/>
          <w:b/>
          <w:bCs/>
          <w:i/>
          <w:iCs/>
          <w:color w:val="000000"/>
          <w:lang w:val="en-US" w:eastAsia="en-US" w:bidi="en-US"/>
        </w:rPr>
        <w:t xml:space="preserve">9) </w:t>
      </w:r>
      <w:r>
        <w:rPr>
          <w:rFonts w:ascii="Liberation Serif" w:hAnsi="Liberation Serif" w:eastAsia="Segoe UI"/>
          <w:i/>
          <w:iCs/>
          <w:color w:val="000000"/>
          <w:lang w:val="en-US" w:eastAsia="en-US" w:bidi="en-US"/>
        </w:rPr>
        <w:t>A fim de aprimorar as atividades da Administração, a elaboração dos estudos preliminares e do TR deve levar em conta o relatório final com informações de contratação anterior, nos termos da alínea “d” do inciso VI do § 3º do art. 174 da Lei nº 14.133, de 20</w:t>
      </w:r>
      <w:r>
        <w:rPr>
          <w:rFonts w:ascii="Liberation Serif" w:hAnsi="Liberation Serif" w:eastAsia="Segoe UI"/>
          <w:i/>
          <w:iCs/>
          <w:lang w:val="en-US" w:eastAsia="en-US" w:bidi="en-US"/>
        </w:rPr>
        <w:t>21 e inciso VI do art. 21 do Decreto nº 11.246, de 27 de outubro de 2022. Caso referido rel</w:t>
      </w:r>
      <w:r>
        <w:rPr>
          <w:rFonts w:ascii="Liberation Serif" w:hAnsi="Liberation Serif" w:eastAsia="Segoe UI"/>
          <w:i/>
          <w:iCs/>
          <w:color w:val="000000"/>
          <w:lang w:val="en-US" w:eastAsia="en-US" w:bidi="en-US"/>
        </w:rPr>
        <w:t>atório não tenha sido elaborado, o processo deve ser enriquecido com essa informação, devendo o gestor do contrato cuidar de elaborá-lo ao fim da contratação que será efetivada.</w:t>
      </w:r>
    </w:p>
    <w:p>
      <w:r>
        <w:rPr>
          <w:rFonts w:ascii="Liberation Serif" w:hAnsi="Liberation Serif" w:eastAsia="Segoe UI"/>
          <w:b/>
          <w:bCs/>
          <w:i/>
          <w:iCs/>
          <w:color w:val="000000"/>
          <w:lang w:val="en-US" w:eastAsia="en-US" w:bidi="en-US"/>
        </w:rPr>
        <w:t>10)</w:t>
      </w:r>
      <w:r>
        <w:rPr>
          <w:rFonts w:ascii="Liberation Serif" w:hAnsi="Liberation Serif" w:eastAsia="Segoe UI"/>
          <w:i/>
          <w:iCs/>
          <w:color w:val="000000"/>
          <w:lang w:val="en-US" w:eastAsia="en-US" w:bidi="en-US"/>
        </w:rPr>
        <w:t>. Este modelo poderá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p>
      <w:r>
        <w:rPr>
          <w:rFonts w:ascii="Liberation Serif" w:hAnsi="Liberation Serif" w:eastAsia="Segoe UI"/>
          <w:b/>
          <w:bCs/>
          <w:i/>
          <w:iCs/>
          <w:color w:val="000000"/>
          <w:lang w:val="en-US" w:eastAsia="en-US" w:bidi="en-US"/>
        </w:rPr>
        <w:t xml:space="preserve">11) </w:t>
      </w:r>
      <w:r>
        <w:rPr>
          <w:rFonts w:ascii="Liberation Serif" w:hAnsi="Liberation Serif" w:eastAsia="Segoe UI"/>
          <w:i/>
          <w:iCs/>
          <w:color w:val="000000"/>
          <w:lang w:val="en-US" w:eastAsia="en-US" w:bidi="en-US"/>
        </w:rPr>
        <w:t xml:space="preserve">Quaisquer sugestões de alteração poderão ser encaminhadas ao e-mail: </w:t>
      </w:r>
      <w:hyperlink r:id="rId1">
        <w:r>
          <w:rPr>
            <w:rFonts w:ascii="Liberation Serif" w:hAnsi="Liberation Serif" w:eastAsia="Segoe UI"/>
            <w:i/>
            <w:iCs/>
            <w:color w:val="000000"/>
            <w:lang w:val="en-US" w:eastAsia="en-US" w:bidi="en-US"/>
          </w:rPr>
          <w:t>cgu.modeloscontratacao@agu.gov.br</w:t>
        </w:r>
      </w:hyperlink>
      <w:r>
        <w:rPr>
          <w:rFonts w:ascii="Liberation Serif" w:hAnsi="Liberation Serif" w:eastAsia="Segoe UI"/>
          <w:i/>
          <w:iCs/>
          <w:color w:val="000000"/>
          <w:lang w:val="en-US" w:eastAsia="en-US" w:bidi="en-US"/>
        </w:rPr>
        <w:t>.</w:t>
      </w:r>
    </w:p>
  </w:comment>
  <w:comment w:id="0" w:author="Autor" w:date="0-00-00T00:00:00Z" w:initials="A">
    <w:p>
      <w:r>
        <w:rPr>
          <w:rFonts w:ascii="Liberation Serif" w:hAnsi="Liberation Serif" w:eastAsia="Segoe UI"/>
          <w:b/>
          <w:bCs/>
          <w:i/>
          <w:iCs/>
          <w:lang w:val="en-US" w:eastAsia="en-US" w:bidi="en-US"/>
        </w:rPr>
        <w:t xml:space="preserve">Nota Explicativa: </w:t>
      </w:r>
      <w:r>
        <w:rPr>
          <w:rFonts w:ascii="Liberation Serif" w:hAnsi="Liberation Serif" w:eastAsia="Segoe UI"/>
          <w:i/>
          <w:iCs/>
          <w:lang w:val="en-US" w:eastAsia="en-US" w:bidi="en-US"/>
        </w:rPr>
        <w:t xml:space="preserve">Considerando que este Termo de Referência contempla tanto as hipóteses de contratações diretas quanto de contratações decorrentes de licitação, a expressão "fornecedor" ou "interessado", utilizada ao longo do texto, abrange contratados e licitantes, conforme o caso. </w:t>
      </w:r>
    </w:p>
  </w:comment>
  <w:comment w:id="3"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Não preencher as colunas relativas ao "valor unitário" e ao "valor total" quando o orçamento for sigiloso.</w:t>
      </w:r>
    </w:p>
  </w:comment>
  <w:comment w:id="2" w:author="Autor" w:date="0-00-00T00:00:00Z" w:initials="A">
    <w:p>
      <w:r>
        <w:rPr>
          <w:rFonts w:ascii="Liberation Serif" w:hAnsi="Liberation Serif" w:eastAsia="Segoe UI"/>
          <w:b/>
          <w:bCs/>
          <w:i/>
          <w:iCs/>
          <w:color w:val="000000"/>
          <w:lang w:val="en-US" w:eastAsia="en-US" w:bidi="en-US"/>
        </w:rPr>
        <w:t xml:space="preserve">Nota Explicativa 1: </w:t>
      </w:r>
      <w:r>
        <w:rPr>
          <w:rFonts w:ascii="Liberation Serif" w:hAnsi="Liberation Serif" w:eastAsia="Segoe UI"/>
          <w:i/>
          <w:iCs/>
          <w:color w:val="000000"/>
          <w:lang w:val="en-US" w:eastAsia="en-US" w:bidi="en-US"/>
        </w:rPr>
        <w:t>A tabela acima é meramente ilustrativa, podendo ser livremente alterada conforme o caso concreto.</w:t>
      </w:r>
    </w:p>
    <w:p>
      <w:r>
        <w:rPr>
          <w:rFonts w:ascii="Liberation Serif" w:hAnsi="Liberation Serif" w:eastAsia="Segoe UI"/>
          <w:lang w:val="en-US" w:eastAsia="en-US" w:bidi="en-US"/>
        </w:rPr>
      </w:r>
    </w:p>
    <w:p>
      <w:r>
        <w:rPr>
          <w:rFonts w:ascii="Liberation Serif" w:hAnsi="Liberation Serif" w:eastAsia="Segoe UI"/>
          <w:b/>
          <w:bCs/>
          <w:i/>
          <w:iCs/>
          <w:color w:val="000000"/>
          <w:lang w:val="en-US" w:eastAsia="en-US" w:bidi="en-US"/>
        </w:rPr>
        <w:t xml:space="preserve">Nota Explicativa 2: </w:t>
      </w:r>
      <w:r>
        <w:rPr>
          <w:rFonts w:ascii="Liberation Serif" w:hAnsi="Liberation Serif" w:eastAsia="Segoe UI"/>
          <w:i/>
          <w:iCs/>
          <w:color w:val="000000"/>
          <w:lang w:val="en-US" w:eastAsia="en-US" w:bidi="en-US"/>
        </w:rPr>
        <w:t>A justificativa para o parcelamento ou não do objeto deve constar do Estudo Técnico Preliminar (</w:t>
      </w:r>
      <w:r>
        <w:fldChar w:fldCharType="begin"/>
      </w:r>
      <w:r>
        <w:instrText> HYPERLINK "http://www.planalto.gov.br/ccivil_03/_ato2019-2022/2021/lei/L14133.htm" \l "art18§1"</w:instrText>
      </w:r>
      <w:r>
        <w:fldChar w:fldCharType="separate"/>
      </w:r>
      <w:r>
        <w:rPr>
          <w:rFonts w:ascii="Liberation Serif" w:hAnsi="Liberation Serif" w:eastAsia="Segoe UI"/>
          <w:i/>
          <w:iCs/>
          <w:color w:val="000000"/>
          <w:lang w:val="en-US" w:eastAsia="en-US" w:bidi="en-US"/>
        </w:rPr>
        <w:t>art. 18, §1º, inciso VIII, da Lei nº 14.133, de 2021</w:t>
      </w:r>
      <w:r>
        <w:fldChar w:fldCharType="end"/>
      </w:r>
      <w:r>
        <w:rPr>
          <w:rFonts w:ascii="Liberation Serif" w:hAnsi="Liberation Serif" w:eastAsia="Segoe UI"/>
          <w:i/>
          <w:iCs/>
          <w:color w:val="000000"/>
          <w:lang w:val="en-US" w:eastAsia="en-US" w:bidi="en-US"/>
        </w:rPr>
        <w:t xml:space="preserve">, e </w:t>
      </w:r>
      <w:r>
        <w:fldChar w:fldCharType="begin"/>
      </w:r>
      <w:r>
        <w:instrText> HYPERLINK "https://www.gov.br/compras/pt-br/acesso-a-informacao/legislacao/instrucoes-normativas/instrucao-normativa-seges-no-58-de-8-de-agosto-de-2022" \l "art9"</w:instrText>
      </w:r>
      <w:r>
        <w:fldChar w:fldCharType="separate"/>
      </w:r>
      <w:r>
        <w:rPr>
          <w:rFonts w:ascii="Liberation Serif" w:hAnsi="Liberation Serif" w:eastAsia="Segoe UI"/>
          <w:i/>
          <w:iCs/>
          <w:color w:val="000000"/>
          <w:lang w:val="en-US" w:eastAsia="en-US" w:bidi="en-US"/>
        </w:rPr>
        <w:t>art. 9º, inciso VII, da Instrução Normativa SEGES nº 58, de 8 de agosto de 2022</w:t>
      </w:r>
      <w:r>
        <w:fldChar w:fldCharType="end"/>
      </w:r>
      <w:r>
        <w:rPr>
          <w:rFonts w:ascii="Liberation Serif" w:hAnsi="Liberation Serif" w:eastAsia="Segoe UI"/>
          <w:i/>
          <w:iCs/>
          <w:color w:val="000000"/>
          <w:lang w:val="en-US" w:eastAsia="en-US" w:bidi="en-US"/>
        </w:rPr>
        <w:t>). Os serviços, como regra, devem atender ao parcelamento quando for tecnicamente viável e economicamente vantajoso (</w:t>
      </w:r>
      <w:r>
        <w:fldChar w:fldCharType="begin"/>
      </w:r>
      <w:r>
        <w:instrText> HYPERLINK "http://www.planalto.gov.br/ccivil_03/_ato2019-2022/2021/lei/L14133.htm" \l "art47"</w:instrText>
      </w:r>
      <w:r>
        <w:fldChar w:fldCharType="separate"/>
      </w:r>
      <w:r>
        <w:rPr>
          <w:rFonts w:ascii="Liberation Serif" w:hAnsi="Liberation Serif" w:eastAsia="Segoe UI"/>
          <w:i/>
          <w:iCs/>
          <w:color w:val="000000"/>
          <w:lang w:val="en-US" w:eastAsia="en-US" w:bidi="en-US"/>
        </w:rPr>
        <w:t>art. 47, inciso II, da Lei n. 14.133, de 2021</w:t>
      </w:r>
      <w:r>
        <w:fldChar w:fldCharType="end"/>
      </w:r>
      <w:r>
        <w:rPr>
          <w:rFonts w:ascii="Liberation Serif" w:hAnsi="Liberation Serif" w:eastAsia="Segoe UI"/>
          <w:i/>
          <w:iCs/>
          <w:color w:val="000000"/>
          <w:lang w:val="en-US" w:eastAsia="en-US" w:bidi="en-US"/>
        </w:rPr>
        <w:t xml:space="preserve">). Devem também ser observadas as regras do </w:t>
      </w:r>
      <w:r>
        <w:fldChar w:fldCharType="begin"/>
      </w:r>
      <w:r>
        <w:instrText> HYPERLINK "http://www.planalto.gov.br/ccivil_03/_ato2019-2022/2021/lei/L14133.htm" \l "art47§1"</w:instrText>
      </w:r>
      <w:r>
        <w:fldChar w:fldCharType="separate"/>
      </w:r>
      <w:r>
        <w:rPr>
          <w:rFonts w:ascii="Liberation Serif" w:hAnsi="Liberation Serif" w:eastAsia="Segoe UI"/>
          <w:i/>
          <w:iCs/>
          <w:color w:val="000000"/>
          <w:lang w:val="en-US" w:eastAsia="en-US" w:bidi="en-US"/>
        </w:rPr>
        <w:t>artigo 47, § 1º, da Lei n. 14.133, de 2021</w:t>
      </w:r>
      <w:r>
        <w:fldChar w:fldCharType="end"/>
      </w:r>
      <w:r>
        <w:rPr>
          <w:rFonts w:ascii="Liberation Serif" w:hAnsi="Liberation Serif" w:eastAsia="Segoe UI"/>
          <w:i/>
          <w:iCs/>
          <w:color w:val="000000"/>
          <w:lang w:val="en-US" w:eastAsia="en-US" w:bidi="en-US"/>
        </w:rPr>
        <w:t>, que trata de aspectos a serem considerados na aplicação do princípio do parcelamento.</w:t>
      </w:r>
    </w:p>
    <w:p>
      <w:r>
        <w:rPr>
          <w:rFonts w:ascii="Liberation Serif" w:hAnsi="Liberation Serif" w:eastAsia="Segoe UI"/>
          <w:lang w:val="en-US" w:eastAsia="en-US" w:bidi="en-US"/>
        </w:rPr>
      </w:r>
    </w:p>
    <w:p>
      <w:r>
        <w:rPr>
          <w:rFonts w:ascii="Liberation Serif" w:hAnsi="Liberation Serif" w:eastAsia="Segoe UI"/>
          <w:b/>
          <w:bCs/>
          <w:i/>
          <w:iCs/>
          <w:lang w:val="en-US" w:eastAsia="en-US" w:bidi="en-US"/>
        </w:rPr>
        <w:t>Nota Explicativa 3</w:t>
      </w:r>
      <w:r>
        <w:rPr>
          <w:rFonts w:ascii="Liberation Serif" w:hAnsi="Liberation Serif" w:eastAsia="Segoe UI"/>
          <w:i/>
          <w:iCs/>
          <w:lang w:val="en-US" w:eastAsia="en-US" w:bidi="en-US"/>
        </w:rPr>
        <w:t>: O parcelamento não é ponto verificado usualmente em contratações diretas, já que estas não são feitas em regime competitivo. No entanto, no caso de se tratar de dispensa de pequeno valor feita pelo sistema de dispensa eletrônica ou qualquer outro caso de dispensa submetida a algum regime competitivo, a análise sobre o parcelamento deverá ocorrer nos moldes acima.</w:t>
      </w:r>
    </w:p>
    <w:p>
      <w:r>
        <w:rPr>
          <w:rFonts w:ascii="Liberation Serif" w:hAnsi="Liberation Serif" w:eastAsia="Segoe UI"/>
          <w:lang w:val="en-US" w:eastAsia="en-US" w:bidi="en-US"/>
        </w:rPr>
      </w:r>
    </w:p>
    <w:p>
      <w:r>
        <w:rPr>
          <w:rFonts w:ascii="Liberation Serif" w:hAnsi="Liberation Serif" w:eastAsia="Segoe UI"/>
          <w:b/>
          <w:bCs/>
          <w:i/>
          <w:iCs/>
          <w:color w:val="000000"/>
          <w:lang w:val="en-US" w:eastAsia="en-US" w:bidi="en-US"/>
        </w:rPr>
        <w:t xml:space="preserve">Nota Explicativa 4: </w:t>
      </w:r>
      <w:r>
        <w:rPr>
          <w:rFonts w:ascii="Liberation Serif" w:hAnsi="Liberation Serif" w:eastAsia="Segoe UI"/>
          <w:i/>
          <w:iCs/>
          <w:color w:val="000000"/>
          <w:lang w:val="en-US" w:eastAsia="en-US" w:bidi="en-US"/>
        </w:rPr>
        <w:t xml:space="preserve">Em contratação de itens de valor correspondente a até R$ 80.000,00 deve ser garantida a participação exclusiva de Microempresa e Empresa de Pequeno Porte (ME e EPP), conforme </w:t>
      </w:r>
      <w:r>
        <w:fldChar w:fldCharType="begin"/>
      </w:r>
      <w:r>
        <w:instrText> HYPERLINK "http://www.planalto.gov.br/ccivil_03/Leis/LCP/Lcp123.htm" \l "art48"</w:instrText>
      </w:r>
      <w:r>
        <w:fldChar w:fldCharType="separate"/>
      </w:r>
      <w:r>
        <w:rPr>
          <w:rFonts w:ascii="Liberation Serif" w:hAnsi="Liberation Serif" w:eastAsia="Segoe UI"/>
          <w:i/>
          <w:iCs/>
          <w:color w:val="000000"/>
          <w:lang w:val="en-US" w:eastAsia="en-US" w:bidi="en-US"/>
        </w:rPr>
        <w:t>artigo 48, inciso I, da Lei Complementar nº 123, de 14 de dezembro de 2006</w:t>
      </w:r>
      <w:r>
        <w:fldChar w:fldCharType="end"/>
      </w:r>
      <w:r>
        <w:rPr>
          <w:rFonts w:ascii="Liberation Serif" w:hAnsi="Liberation Serif" w:eastAsia="Segoe UI"/>
          <w:i/>
          <w:iCs/>
          <w:color w:val="000000"/>
          <w:lang w:val="en-US" w:eastAsia="en-US" w:bidi="en-US"/>
        </w:rPr>
        <w:t xml:space="preserve">, e </w:t>
      </w:r>
      <w:r>
        <w:fldChar w:fldCharType="begin"/>
      </w:r>
      <w:r>
        <w:instrText> HYPERLINK "http://www.planalto.gov.br/ccivil_03/_Ato2015-2018/2015/Decreto/D8538.htm" \l "art6"</w:instrText>
      </w:r>
      <w:r>
        <w:fldChar w:fldCharType="separate"/>
      </w:r>
      <w:r>
        <w:rPr>
          <w:rFonts w:ascii="Liberation Serif" w:hAnsi="Liberation Serif" w:eastAsia="Segoe UI"/>
          <w:i/>
          <w:iCs/>
          <w:color w:val="000000"/>
          <w:lang w:val="en-US" w:eastAsia="en-US" w:bidi="en-US"/>
        </w:rPr>
        <w:t>artigo 6º do Decreto nº 8.538, de 06 de outubro de 2015).</w:t>
      </w:r>
      <w:r>
        <w:fldChar w:fldCharType="end"/>
      </w:r>
    </w:p>
    <w:p>
      <w:r>
        <w:rPr>
          <w:rFonts w:ascii="Liberation Serif" w:hAnsi="Liberation Serif" w:eastAsia="Segoe UI"/>
          <w:lang w:val="en-US" w:eastAsia="en-US" w:bidi="en-US"/>
        </w:rPr>
      </w:r>
    </w:p>
    <w:p>
      <w:r>
        <w:rPr>
          <w:rFonts w:ascii="Liberation Serif" w:hAnsi="Liberation Serif" w:eastAsia="Segoe UI"/>
          <w:b/>
          <w:bCs/>
          <w:i/>
          <w:iCs/>
          <w:color w:val="000000"/>
          <w:lang w:val="en-US" w:eastAsia="en-US" w:bidi="en-US"/>
        </w:rPr>
        <w:t>Nota Explicativa 5:</w:t>
      </w:r>
      <w:r>
        <w:rPr>
          <w:rFonts w:ascii="Liberation Serif" w:hAnsi="Liberation Serif" w:eastAsia="Segoe UI"/>
          <w:i/>
          <w:iCs/>
          <w:color w:val="000000"/>
          <w:lang w:val="en-US" w:eastAsia="en-US" w:bidi="en-US"/>
        </w:rPr>
        <w:t xml:space="preserve"> Building Information Modelling – BIM: O Decreto nº 10.306/2020 trata da utilização do Building Information Modelling (BIM) na execução direta ou indireta de obras e serviços de engenharia realizados pelos órgãos e pelas entidades da administração pública federal, conforme Estratégia BIM BR, instituída pelo Decreto nº 9.983, de 22 de agosto de 2019.  Building Information Modelling - BIM ou Modelagem da Informação da Construção corresponde ao “conjunto de tecnologias e processos integrados que permite a criação, a utilização e a atualização de modelos digitais de uma construção, de modo colaborativo, que sirva a todos os participantes do empreendimento, em qualquer etapa do ciclo de vida da construção” (art. 3º, inciso II, do Decreto nº 10.306/2020).</w:t>
      </w:r>
    </w:p>
    <w:p>
      <w:r>
        <w:rPr>
          <w:rFonts w:ascii="Liberation Serif" w:hAnsi="Liberation Serif" w:eastAsia="Segoe UI"/>
          <w:i/>
          <w:iCs/>
          <w:color w:val="000000"/>
          <w:lang w:val="en-US" w:eastAsia="en-US" w:bidi="en-US"/>
        </w:rPr>
        <w:t>De acordo com o artigo 2º do referido Decreto, alguns Ministérios, Secretarias e Autarquias foram desde logo vinculados à ação de disseminação do BIM. Desse modo, se for o caso, deverá a Administração efetuar o planejamento da contratação com base nas diretrizes estabelecidas no Decreto nº 10.306/2020, em especial por conta da previsão do artigo 19, §3º, da Lei nº 14.133/2021, que estabelece que, nas licitações de obras e serviços de engenharia e arquitetura, sempre que adequada ao objeto contratual, será preferencialmente adotada a Modelagem da Informação da Construção (Building Information Modelling - BIM) ou tecnologias e processos integrados similares ou mais avançados que venham a substituí-la.</w:t>
      </w:r>
    </w:p>
  </w:comment>
  <w:comment w:id="4" w:author="Autor" w:date="0-00-00T00:00:00Z" w:initials="A">
    <w:p>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xml:space="preserve"> Sobre a natureza do objeto, deve-se ter em mente o disposto na Orientação Normativa AGU nº 54/2014: "Compete ao agente ou setor técnico da administração declarar que o objeto licitatório é de natureza comum para efeito de utilização da modalidade pregão e definir se o objeto corresponde a obra ou serviço de engenharia, sendo atribuição do órgão jurídico analisar o devido enquadramento da modalidade licitatória aplicável". </w:t>
      </w:r>
    </w:p>
    <w:p>
      <w:r>
        <w:rPr>
          <w:rFonts w:ascii="Liberation Serif" w:hAnsi="Liberation Serif" w:eastAsia="Segoe UI"/>
          <w:lang w:val="en-US" w:eastAsia="en-US" w:bidi="en-US"/>
        </w:rPr>
      </w:r>
    </w:p>
    <w:p>
      <w:r>
        <w:rPr>
          <w:rFonts w:ascii="Liberation Serif" w:hAnsi="Liberation Serif" w:eastAsia="Segoe UI"/>
          <w:b/>
          <w:bCs/>
          <w:i/>
          <w:iCs/>
          <w:color w:val="000000"/>
          <w:lang w:val="en-US" w:eastAsia="en-US" w:bidi="en-US"/>
        </w:rPr>
        <w:t>Nota Explicativa 2:</w:t>
      </w:r>
      <w:r>
        <w:rPr>
          <w:rFonts w:ascii="Liberation Serif" w:hAnsi="Liberation Serif" w:eastAsia="Segoe UI"/>
          <w:i/>
          <w:iCs/>
          <w:color w:val="000000"/>
          <w:lang w:val="en-US" w:eastAsia="en-US" w:bidi="en-US"/>
        </w:rPr>
        <w:t xml:space="preserve"> Deve a Administração atentar para as definições de bens comuns e especiais, constantes do art. 6º, incisos XIII e XIV, da Lei n.º 14.133, de 2021, respectivamente. </w:t>
      </w:r>
    </w:p>
  </w:comment>
  <w:comment w:id="5" w:author="Autor" w:date="0-00-00T00:00:00Z" w:initials="A">
    <w:p>
      <w:r>
        <w:rPr>
          <w:rFonts w:ascii="Liberation Serif" w:hAnsi="Liberation Serif" w:eastAsia="Segoe UI"/>
          <w:b/>
          <w:bCs/>
          <w:i/>
          <w:iCs/>
          <w:color w:val="000000"/>
          <w:lang w:val="en-US" w:eastAsia="en-US" w:bidi="en-US"/>
        </w:rPr>
        <w:t xml:space="preserve">Nota Explicativa: Vedação quanto à aquisição de itens de luxo - </w:t>
      </w:r>
      <w:r>
        <w:rPr>
          <w:rFonts w:ascii="Liberation Serif" w:hAnsi="Liberation Serif" w:eastAsia="Segoe UI"/>
          <w:i/>
          <w:iCs/>
          <w:color w:val="000000"/>
          <w:lang w:val="en-US" w:eastAsia="en-US" w:bidi="en-US"/>
        </w:rPr>
        <w:t xml:space="preserve">O artigo 20 da Lei nº 14.133, de 2021, estabelece que os itens de consumo deverão ser de qualidade comum, não superior à necessária para cumprir as finalidades às quais se destinam, vedada a aquisição de artigos de luxo. O Decreto nº 10.818, de 2021 regulamentou o tema, devendo as vedações nele estabelecidas serem respeitadas pelo administrador público. </w:t>
      </w:r>
    </w:p>
  </w:comment>
  <w:comment w:id="6"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De acordo com o artigo 6º, inciso XXIII, alínea ‘c’, da Lei nº 14.133, de 2021, a fundamentação da contratação é realizada mediante “referência aos estudos técnicos preliminares (ETP) correspondentes ou, quando não for possível divulgar esses estudos, no extrato das partes que não contiverem informações sigilosas”. A Instrução Normativa SEGES/ME nº 58, de 8 de agosto de 2022, dispõe sobre a “elaboração do ETP, para a aquisição de bens e a contratação de serviços e obras no âmbito da administração pública federal direta, autárquica e fundacional, e sobre o Sistema ETP digital”. No mesmo sentido é a previsão do art. 9º, inciso II, da Instrução Normativa Seges/ME nº 81, de 2022.</w:t>
      </w:r>
    </w:p>
  </w:comment>
  <w:comment w:id="7" w:author="Autor" w:date="0-00-00T00:00:00Z" w:initials="A">
    <w:p>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xml:space="preserve"> Artigo 18, §1º, da Lei nº 14.133, de 2021, contém a seguinte redação: </w:t>
      </w:r>
    </w:p>
    <w:p>
      <w:r>
        <w:rPr>
          <w:rFonts w:ascii="Liberation Serif" w:hAnsi="Liberation Serif" w:eastAsia="Segoe UI"/>
          <w:i/>
          <w:iCs/>
          <w:color w:val="000000"/>
          <w:lang w:val="en-US" w:eastAsia="en-US" w:bidi="en-US"/>
        </w:rPr>
        <w:t>§ 1º O estudo técnico preliminar a que se refere o inciso I do caput deste artigo deverá evidenciar o problema a ser resolvido e a sua melhor solução, de modo a permitir a avaliação da viabilidade técnica e econômica da contratação, e conterá os seguintes elementos: (...)VII - descrição da solução como um todo, inclusive das exigências relacionadas à manutenção e à assistência técnica, quando for o caso.</w:t>
      </w:r>
    </w:p>
    <w:p>
      <w:r>
        <w:rPr>
          <w:rFonts w:ascii="Liberation Serif" w:hAnsi="Liberation Serif" w:eastAsia="Segoe UI"/>
          <w:i/>
          <w:iCs/>
          <w:color w:val="000000"/>
          <w:lang w:val="en-US" w:eastAsia="en-US" w:bidi="en-US"/>
        </w:rPr>
        <w:t>Ver também Instrução Normativa SEGES/ME nº 58, de 08 de agosto de 2022 (ETP), art. 3º, inciso I e art. 6º.</w:t>
      </w:r>
    </w:p>
    <w:p>
      <w:r>
        <w:rPr>
          <w:rFonts w:ascii="Liberation Serif" w:hAnsi="Liberation Serif" w:eastAsia="Segoe UI"/>
          <w:i/>
          <w:iCs/>
          <w:color w:val="000000"/>
          <w:lang w:val="en-US" w:eastAsia="en-US" w:bidi="en-US"/>
        </w:rPr>
        <w:t>Caso haja a necessidade de modificação da descrição em relação à originalmente feita nos estudos técnicos preliminares, recomenda-se o dispositivo 3.1, para que passe a contemplar essa alteração.</w:t>
      </w:r>
    </w:p>
    <w:p>
      <w:r>
        <w:rPr>
          <w:rFonts w:ascii="Liberation Serif" w:hAnsi="Liberation Serif" w:eastAsia="Segoe UI"/>
          <w:i/>
          <w:iCs/>
          <w:color w:val="000000"/>
          <w:lang w:val="en-US" w:eastAsia="en-US" w:bidi="en-US"/>
        </w:rPr>
        <w:t>A Instrução Normativa Seges/ME nº 81, de 2022, também trata da necessidade de descrição da solução como um todo, considerado todo o ciclo de vida do objeto, com preferência a arranjos inovadores em sede de economia circular, conforme seu artigo 9º, inciso III.</w:t>
      </w:r>
    </w:p>
    <w:p>
      <w:r>
        <w:rPr>
          <w:rFonts w:ascii="Liberation Serif" w:hAnsi="Liberation Serif" w:eastAsia="Segoe UI"/>
          <w:lang w:val="en-US" w:eastAsia="en-US" w:bidi="en-US"/>
        </w:rPr>
      </w:r>
    </w:p>
    <w:p>
      <w:r>
        <w:rPr>
          <w:rFonts w:ascii="Liberation Serif" w:hAnsi="Liberation Serif" w:eastAsia="Segoe UI"/>
          <w:b/>
          <w:bCs/>
          <w:i/>
          <w:iCs/>
          <w:color w:val="000000"/>
          <w:lang w:val="en-US" w:eastAsia="en-US" w:bidi="en-US"/>
        </w:rPr>
        <w:t>Nota Explicativa 2:</w:t>
      </w:r>
      <w:r>
        <w:rPr>
          <w:rFonts w:ascii="Liberation Serif" w:hAnsi="Liberation Serif" w:eastAsia="Segoe UI"/>
          <w:i/>
          <w:iCs/>
          <w:color w:val="000000"/>
          <w:lang w:val="en-US" w:eastAsia="en-US" w:bidi="en-US"/>
        </w:rPr>
        <w:t xml:space="preserve"> A Instrução Normativa SEGES/ME nº 73, de 30 de setembro de 2022, em seu art. 9º, §1º, estabelece que os custos indiretos, relacionados às despesas de manutenção, utilização, reposição, depreciação e impacto ambiental, entre outros fatores vinculados ao seu ciclo de vida, poderão ser considerados para a definição do menor dispêndio, sempre que objetivamente mensuráveis, conforme parâmetros definidos em regulamento, de acordo com o § 1º do art. 34 da Lei nº 14.133, de 2021. Logo, a definição do menor dispêndio para Administração deve levar em consideração esse aspecto.</w:t>
      </w:r>
    </w:p>
    <w:p>
      <w:r>
        <w:rPr>
          <w:rFonts w:ascii="Liberation Serif" w:hAnsi="Liberation Serif" w:eastAsia="Segoe UI"/>
          <w:lang w:val="en-US" w:eastAsia="en-US" w:bidi="en-US"/>
        </w:rPr>
      </w:r>
    </w:p>
    <w:p>
      <w:r>
        <w:rPr>
          <w:rFonts w:ascii="Liberation Serif" w:hAnsi="Liberation Serif" w:eastAsia="Segoe UI"/>
          <w:b/>
          <w:bCs/>
          <w:i/>
          <w:iCs/>
          <w:color w:val="000000"/>
          <w:lang w:val="en-US" w:eastAsia="en-US" w:bidi="en-US"/>
        </w:rPr>
        <w:t xml:space="preserve">Nota Explicativa 3: </w:t>
      </w:r>
      <w:r>
        <w:rPr>
          <w:rFonts w:ascii="Liberation Serif" w:hAnsi="Liberation Serif" w:eastAsia="Segoe UI"/>
          <w:i/>
          <w:iCs/>
          <w:color w:val="000000"/>
          <w:lang w:val="en-US" w:eastAsia="en-US" w:bidi="en-US"/>
        </w:rPr>
        <w:t>O objeto deve ser descrito de forma detalhada, com todas as especificações necessárias e suficientes para garantir a qualidade da contração, cuidando-se para que não sejam admitidas, previstas ou incluídas condições impertinentes ou irrelevantes para o específico objeto do contrato. Deve-se levar em consideração as normas técnicas eventualmente existentes, elaboradas pela Associação Brasileira de Normas Técnicas – ABNT, quanto a requisitos mínimos de qualidade, utilidade, resistência e segurança, nos termos da Lei n° 4.150, de 21 de novembro de 1962.</w:t>
      </w:r>
    </w:p>
    <w:p>
      <w:r>
        <w:rPr>
          <w:rFonts w:ascii="Liberation Serif" w:hAnsi="Liberation Serif" w:eastAsia="Segoe UI"/>
          <w:lang w:val="en-US" w:eastAsia="en-US" w:bidi="en-US"/>
        </w:rPr>
      </w:r>
    </w:p>
    <w:p>
      <w:r>
        <w:rPr>
          <w:rFonts w:ascii="Liberation Serif" w:hAnsi="Liberation Serif" w:eastAsia="Segoe UI"/>
          <w:b/>
          <w:bCs/>
          <w:i/>
          <w:iCs/>
          <w:color w:val="000000"/>
          <w:lang w:val="en-US" w:eastAsia="en-US" w:bidi="en-US"/>
        </w:rPr>
        <w:t xml:space="preserve">Nota Explicativa 4: </w:t>
      </w:r>
      <w:r>
        <w:rPr>
          <w:rFonts w:ascii="Liberation Serif" w:hAnsi="Liberation Serif" w:eastAsia="Segoe UI"/>
          <w:i/>
          <w:iCs/>
          <w:color w:val="000000"/>
          <w:lang w:val="en-US" w:eastAsia="en-US" w:bidi="en-US"/>
        </w:rPr>
        <w:t xml:space="preserve">O art. 6º, XXIII, “c”, da Lei nº 14.133, de 2021, e o art. 9º, IIII, da Instrução Normativa Seges/ME nº 81, de 2022, dispõem que a descrição da solução como um todo deve considerar todo o ciclo de vida do objeto. “Ciclo de Vida” é definido no art. 3º da Lei nº 12.305, de 02 de agosto de 2010, como sendo “série de etapas que envolvem o desenvolvimento do produto, a obtenção de matérias-primas e insumos, o processo produtivo, o consumo e a disposição final”. Desse modo, a descrição da solução deve considerar não só suas características intrínsecas ao uso em si, mas também eventual sustentabilidade de sua produção, duração de seu consumo (se é menos ou mais durável) até a destinação final. </w:t>
      </w:r>
      <w:r>
        <w:rPr>
          <w:rFonts w:ascii="Liberation Serif" w:hAnsi="Liberation Serif" w:eastAsia="Segoe UI"/>
          <w:b/>
          <w:bCs/>
          <w:i/>
          <w:iCs/>
          <w:color w:val="000000"/>
          <w:lang w:val="en-US" w:eastAsia="en-US" w:bidi="en-US"/>
        </w:rPr>
        <w:t>Reitere-se: se a descrição contida no ETP não contiver esse ponto, deve ser complementada neste TR</w:t>
      </w:r>
      <w:r>
        <w:rPr>
          <w:rFonts w:ascii="Liberation Serif" w:hAnsi="Liberation Serif" w:eastAsia="Segoe UI"/>
          <w:i/>
          <w:iCs/>
          <w:color w:val="000000"/>
          <w:lang w:val="en-US" w:eastAsia="en-US" w:bidi="en-US"/>
        </w:rPr>
        <w:t>.</w:t>
      </w:r>
    </w:p>
    <w:p>
      <w:r>
        <w:rPr>
          <w:rFonts w:ascii="Liberation Serif" w:hAnsi="Liberation Serif" w:eastAsia="Segoe UI"/>
          <w:lang w:val="en-US" w:eastAsia="en-US" w:bidi="en-US"/>
        </w:rPr>
      </w:r>
    </w:p>
    <w:p>
      <w:r>
        <w:rPr>
          <w:rFonts w:ascii="Liberation Serif" w:hAnsi="Liberation Serif" w:eastAsia="Segoe UI"/>
          <w:b/>
          <w:bCs/>
          <w:i/>
          <w:iCs/>
          <w:color w:val="000000"/>
          <w:lang w:val="en-US" w:eastAsia="en-US" w:bidi="en-US"/>
        </w:rPr>
        <w:t>Nota Explicativa 5:</w:t>
      </w:r>
      <w:r>
        <w:rPr>
          <w:rFonts w:ascii="Liberation Serif" w:hAnsi="Liberation Serif" w:eastAsia="Segoe UI"/>
          <w:i/>
          <w:iCs/>
          <w:color w:val="000000"/>
          <w:lang w:val="en-US" w:eastAsia="en-US" w:bidi="en-US"/>
        </w:rPr>
        <w:t xml:space="preserve"> O art. 40, §1º, inciso I, da Lei nº 14.133, de 2021, e o art. 9º, inciso I, alínea b, da Instrução Normativa Seges/ME nº 81, de 2022, estabelece que deve ser feita a especificação do produto/bem/serviço, preferencialmente conforme catálogo eletrônico de padronização, observados os requisitos de qualidade, rendimento, compatibilidade, durabilidade e segurança”. A Portaria SEGES/ME nº 938, de 02 de fevereiro de 2022, instituiu o </w:t>
      </w:r>
      <w:hyperlink r:id="rId2">
        <w:r>
          <w:rPr>
            <w:rFonts w:ascii="Liberation Serif" w:hAnsi="Liberation Serif" w:eastAsia="Segoe UI"/>
            <w:i/>
            <w:iCs/>
            <w:color w:val="000000"/>
            <w:lang w:val="en-US" w:eastAsia="en-US" w:bidi="en-US"/>
          </w:rPr>
          <w:t>catálogo eletrônico de padronização</w:t>
        </w:r>
      </w:hyperlink>
      <w:r>
        <w:rPr>
          <w:rFonts w:ascii="Liberation Serif" w:hAnsi="Liberation Serif" w:eastAsia="Segoe UI"/>
          <w:i/>
          <w:iCs/>
          <w:color w:val="000000"/>
          <w:lang w:val="en-US" w:eastAsia="en-US" w:bidi="en-US"/>
        </w:rPr>
        <w:t>, o qual deverá ser consultado para verificar se a contratação almejada está contemplada em seus termos. Em existindo padronização aprovada, ela deve ser considerada e eventual não-uso justificado nos autos.</w:t>
      </w:r>
    </w:p>
    <w:p>
      <w:r>
        <w:rPr>
          <w:rFonts w:ascii="Liberation Serif" w:hAnsi="Liberation Serif" w:eastAsia="Segoe UI"/>
          <w:lang w:val="en-US" w:eastAsia="en-US" w:bidi="en-US"/>
        </w:rPr>
      </w:r>
    </w:p>
    <w:p>
      <w:r>
        <w:rPr>
          <w:rFonts w:ascii="Liberation Serif" w:hAnsi="Liberation Serif" w:eastAsia="Segoe UI"/>
          <w:b/>
          <w:bCs/>
          <w:i/>
          <w:iCs/>
          <w:color w:val="000000"/>
          <w:lang w:val="en-US" w:eastAsia="en-US" w:bidi="en-US"/>
        </w:rPr>
        <w:t xml:space="preserve">Nota Explicativa 6: </w:t>
      </w:r>
      <w:r>
        <w:rPr>
          <w:rFonts w:ascii="Liberation Serif" w:hAnsi="Liberation Serif" w:eastAsia="Segoe UI"/>
          <w:i/>
          <w:iCs/>
          <w:color w:val="000000"/>
          <w:lang w:val="en-US" w:eastAsia="en-US" w:bidi="en-US"/>
        </w:rPr>
        <w:t xml:space="preserve">Em havendo elementos de sustentabilidade (fornecimento em material reciclável ou com madeira de reflorestamento etc.) inerentes ao objeto contratual, estes devem estar na solução como um todo de modo específico e concreto, evitando-se descrições genéricas, de difícil aferição e controle. Recomenda-se destacar em tópicos específicos da descrição do objeto seus elementos atinentes a aspectos de sustentabilidade. Sugere-se consultar o </w:t>
      </w:r>
      <w:hyperlink r:id="rId3">
        <w:r>
          <w:rPr>
            <w:rFonts w:ascii="Liberation Serif" w:hAnsi="Liberation Serif" w:eastAsia="Segoe UI"/>
            <w:i/>
            <w:iCs/>
            <w:color w:val="000000"/>
            <w:lang w:val="en-US" w:eastAsia="en-US" w:bidi="en-US"/>
          </w:rPr>
          <w:t>Guia Nacional de Contratações Sustentáveis da AGU</w:t>
        </w:r>
      </w:hyperlink>
      <w:r>
        <w:rPr>
          <w:rFonts w:ascii="Liberation Serif" w:hAnsi="Liberation Serif" w:eastAsia="Segoe UI"/>
          <w:i/>
          <w:iCs/>
          <w:color w:val="000000"/>
          <w:lang w:val="en-US" w:eastAsia="en-US" w:bidi="en-US"/>
        </w:rPr>
        <w:t xml:space="preserve"> para tal fim. Caso o Estudo Técnico Preliminar seja silente ou insuficiente a esse respeito, recomenda-se abrir tópico específico nesta seção sobre a matéria.</w:t>
      </w:r>
    </w:p>
    <w:p>
      <w:r>
        <w:rPr>
          <w:rFonts w:ascii="Liberation Serif" w:hAnsi="Liberation Serif" w:eastAsia="Segoe UI"/>
          <w:i/>
          <w:iCs/>
          <w:color w:val="000000"/>
          <w:lang w:val="en-US" w:eastAsia="en-US" w:bidi="en-US"/>
        </w:rPr>
        <w:t>Vale registrar que a sustentabilidade pode incidir a partir de características do próprio objeto a ser contratado como também de outros modos, compilados no tópico “requisitos da contratação”, abaixo.</w:t>
      </w:r>
    </w:p>
  </w:comment>
  <w:comment w:id="8" w:author="Autor" w:date="0-00-00T00:00:00Z" w:initials="A">
    <w:p>
      <w:r>
        <w:rPr>
          <w:rFonts w:ascii="Liberation Serif" w:hAnsi="Liberation Serif" w:eastAsia="Segoe UI"/>
          <w:b/>
          <w:bCs/>
          <w:i/>
          <w:iCs/>
          <w:color w:val="000000"/>
          <w:lang w:val="en-US" w:eastAsia="en-US" w:bidi="en-US"/>
        </w:rPr>
        <w:t xml:space="preserve">Nota Explicativa 1: </w:t>
      </w:r>
      <w:r>
        <w:rPr>
          <w:rFonts w:ascii="Liberation Serif" w:hAnsi="Liberation Serif" w:eastAsia="Segoe UI"/>
          <w:i/>
          <w:iCs/>
          <w:color w:val="000000"/>
          <w:lang w:val="en-US" w:eastAsia="en-US" w:bidi="en-US"/>
        </w:rPr>
        <w:t>Os requisitos da contratação deverão ser registrados nos Sistemas TR DIGITAL E ETP DIGITAL, nos term</w:t>
      </w:r>
      <w:r>
        <w:rPr>
          <w:rFonts w:ascii="Liberation Serif" w:hAnsi="Liberation Serif" w:eastAsia="Segoe UI"/>
          <w:i/>
          <w:iCs/>
          <w:lang w:val="en-US" w:eastAsia="en-US" w:bidi="en-US"/>
        </w:rPr>
        <w:t xml:space="preserve">os do </w:t>
      </w:r>
      <w:r>
        <w:fldChar w:fldCharType="begin"/>
      </w:r>
      <w:r>
        <w:instrText> HYPERLINK "https://www.in.gov.br/en/web/dou/-/instrucao-normativa-cgnor/me-n-81-de-25-de-novembro-de-2022-446388890" \l "art9"</w:instrText>
      </w:r>
      <w:r>
        <w:fldChar w:fldCharType="separate"/>
      </w:r>
      <w:r>
        <w:rPr>
          <w:rFonts w:ascii="Liberation Serif" w:hAnsi="Liberation Serif" w:eastAsia="Segoe UI"/>
          <w:i/>
          <w:iCs/>
          <w:lang w:val="en-US" w:eastAsia="en-US" w:bidi="en-US"/>
        </w:rPr>
        <w:t>art. 9º, inciso IV da IN Seges/ME nº 81, de 2022</w:t>
      </w:r>
      <w:r>
        <w:fldChar w:fldCharType="end"/>
      </w:r>
      <w:r>
        <w:rPr>
          <w:rFonts w:ascii="Liberation Serif" w:hAnsi="Liberation Serif" w:eastAsia="Segoe UI"/>
          <w:i/>
          <w:iCs/>
          <w:lang w:val="en-US" w:eastAsia="en-US" w:bidi="en-US"/>
        </w:rPr>
        <w:t xml:space="preserve"> e </w:t>
      </w:r>
      <w:r>
        <w:fldChar w:fldCharType="begin"/>
      </w:r>
      <w:r>
        <w:instrText> HYPERLINK "https://www.in.gov.br/en/web/dou/-/instrucao-normativa-seges-n-58-de-8-de-agosto-de-2022-421221597" \l "art9"</w:instrText>
      </w:r>
      <w:r>
        <w:fldChar w:fldCharType="separate"/>
      </w:r>
      <w:r>
        <w:rPr>
          <w:rFonts w:ascii="Liberation Serif" w:hAnsi="Liberation Serif" w:eastAsia="Segoe UI"/>
          <w:i/>
          <w:iCs/>
          <w:lang w:val="en-US" w:eastAsia="en-US" w:bidi="en-US"/>
        </w:rPr>
        <w:t>art. 9º, inciso II, da Instrução Normativa Seges/ME nº 58, de 2022.</w:t>
      </w:r>
      <w:r>
        <w:fldChar w:fldCharType="end"/>
      </w:r>
    </w:p>
    <w:p>
      <w:r>
        <w:rPr>
          <w:rFonts w:ascii="Liberation Serif" w:hAnsi="Liberation Serif" w:eastAsia="Segoe UI"/>
          <w:lang w:val="en-US" w:eastAsia="en-US" w:bidi="en-US"/>
        </w:rPr>
      </w:r>
    </w:p>
    <w:p>
      <w:r>
        <w:rPr>
          <w:rFonts w:ascii="Liberation Serif" w:hAnsi="Liberation Serif" w:eastAsia="Segoe UI"/>
          <w:b/>
          <w:bCs/>
          <w:i/>
          <w:iCs/>
          <w:color w:val="000000"/>
          <w:lang w:val="en-US" w:eastAsia="en-US" w:bidi="en-US"/>
        </w:rPr>
        <w:t xml:space="preserve">Nota Explicativa 2: </w:t>
      </w:r>
      <w:r>
        <w:rPr>
          <w:rFonts w:ascii="Liberation Serif" w:hAnsi="Liberation Serif" w:eastAsia="Segoe UI"/>
          <w:i/>
          <w:iCs/>
          <w:color w:val="000000"/>
          <w:lang w:val="en-US" w:eastAsia="en-US" w:bidi="en-US"/>
        </w:rPr>
        <w:t xml:space="preserve">Alguns requisitos de contratação tratados na lei foram abordados neste tópico do Termo de Referência. Isso não impede que outros requisitos de contratação, de caráter técnico, sejam inseridos pela área competente. Registre-se, apenas, que a documentação de habilitação técnica é objeto </w:t>
      </w:r>
      <w:r>
        <w:rPr>
          <w:rFonts w:ascii="Liberation Serif" w:hAnsi="Liberation Serif" w:eastAsia="Segoe UI"/>
          <w:i/>
          <w:iCs/>
          <w:lang w:val="en-US" w:eastAsia="en-US" w:bidi="en-US"/>
        </w:rPr>
        <w:t>de tópico específico neste TR (CRITÉRIOS DE SELEÇÃO DO FORNECEDOR) de modo que sua inclusão aqui seria redundante.</w:t>
      </w:r>
    </w:p>
  </w:comment>
  <w:comment w:id="9" w:author="Autor" w:date="0-00-00T00:00:00Z" w:initials="A">
    <w:p>
      <w:r>
        <w:rPr>
          <w:rFonts w:ascii="Liberation Serif" w:hAnsi="Liberation Serif" w:eastAsia="Segoe UI"/>
          <w:b/>
          <w:bCs/>
          <w:i/>
          <w:iCs/>
          <w:color w:val="000000"/>
          <w:lang w:val="en-US" w:eastAsia="en-US" w:bidi="en-US"/>
        </w:rPr>
        <w:t xml:space="preserve">Nota Explicativa 1: </w:t>
      </w:r>
      <w:r>
        <w:rPr>
          <w:rFonts w:ascii="Liberation Serif" w:hAnsi="Liberation Serif" w:eastAsia="Segoe UI"/>
          <w:i/>
          <w:iCs/>
          <w:color w:val="000000"/>
          <w:lang w:val="en-US" w:eastAsia="en-US" w:bidi="en-US"/>
        </w:rPr>
        <w:t xml:space="preserve">O Termo de Referência e os Estudos Técnicos Preliminares deverão estar alinhados com o Plano Diretor de </w:t>
      </w:r>
      <w:r>
        <w:rPr>
          <w:rFonts w:ascii="Liberation Serif" w:hAnsi="Liberation Serif" w:eastAsia="Segoe UI"/>
          <w:i/>
          <w:iCs/>
          <w:lang w:val="en-US" w:eastAsia="en-US" w:bidi="en-US"/>
        </w:rPr>
        <w:t>Logística Sustentável, Plano de Contratações Anual, além de outros instrumentos de planejamento da Administração,</w:t>
      </w:r>
      <w:r>
        <w:rPr>
          <w:rFonts w:ascii="Liberation Serif" w:hAnsi="Liberation Serif" w:eastAsia="Segoe UI"/>
          <w:b/>
          <w:bCs/>
          <w:i/>
          <w:iCs/>
          <w:lang w:val="en-US" w:eastAsia="en-US" w:bidi="en-US"/>
        </w:rPr>
        <w:t xml:space="preserve"> </w:t>
      </w:r>
      <w:r>
        <w:rPr>
          <w:rFonts w:ascii="Liberation Serif" w:hAnsi="Liberation Serif" w:eastAsia="Segoe UI"/>
          <w:i/>
          <w:iCs/>
          <w:lang w:val="en-US" w:eastAsia="en-US" w:bidi="en-US"/>
        </w:rPr>
        <w:t xml:space="preserve">de acordo com o </w:t>
      </w:r>
      <w:hyperlink r:id="rId4">
        <w:r>
          <w:rPr>
            <w:rFonts w:ascii="Liberation Serif" w:hAnsi="Liberation Serif" w:eastAsia="Segoe UI"/>
            <w:i/>
            <w:iCs/>
            <w:lang w:val="en-US" w:eastAsia="en-US" w:bidi="en-US"/>
          </w:rPr>
          <w:t>art. 7º da IN Seges/ME nº 81, de 2022</w:t>
        </w:r>
      </w:hyperlink>
      <w:r>
        <w:rPr>
          <w:rFonts w:ascii="Liberation Serif" w:hAnsi="Liberation Serif" w:eastAsia="Segoe UI"/>
          <w:i/>
          <w:iCs/>
          <w:lang w:val="en-US" w:eastAsia="en-US" w:bidi="en-US"/>
        </w:rPr>
        <w:t xml:space="preserve">, e </w:t>
      </w:r>
      <w:hyperlink r:id="rId5">
        <w:r>
          <w:rPr>
            <w:rFonts w:ascii="Liberation Serif" w:hAnsi="Liberation Serif" w:eastAsia="Segoe UI"/>
            <w:i/>
            <w:iCs/>
            <w:lang w:val="en-US" w:eastAsia="en-US" w:bidi="en-US"/>
          </w:rPr>
          <w:t>art. 7º da Instrução Normativa Seges/ME nº 58, de 2022</w:t>
        </w:r>
      </w:hyperlink>
      <w:r>
        <w:rPr>
          <w:rFonts w:ascii="Liberation Serif" w:hAnsi="Liberation Serif" w:eastAsia="Segoe UI"/>
          <w:i/>
          <w:iCs/>
          <w:lang w:val="en-US" w:eastAsia="en-US" w:bidi="en-US"/>
        </w:rPr>
        <w:t xml:space="preserve">. </w:t>
      </w:r>
    </w:p>
    <w:p>
      <w:r>
        <w:rPr>
          <w:rFonts w:ascii="Liberation Serif" w:hAnsi="Liberation Serif" w:eastAsia="Segoe UI"/>
          <w:b/>
          <w:bCs/>
          <w:i/>
          <w:iCs/>
          <w:lang w:val="en-US" w:eastAsia="en-US" w:bidi="en-US"/>
        </w:rPr>
        <w:t>Nota Explicativa 2:</w:t>
      </w:r>
      <w:r>
        <w:rPr>
          <w:rFonts w:ascii="Liberation Serif" w:hAnsi="Liberation Serif" w:eastAsia="Segoe UI"/>
          <w:i/>
          <w:iCs/>
          <w:lang w:val="en-US" w:eastAsia="en-US" w:bidi="en-US"/>
        </w:rPr>
        <w:t xml:space="preserve"> Nos termos da </w:t>
      </w:r>
      <w:hyperlink r:id="rId6">
        <w:r>
          <w:rPr>
            <w:rFonts w:ascii="Liberation Serif" w:hAnsi="Liberation Serif" w:eastAsia="Segoe UI"/>
            <w:i/>
            <w:iCs/>
            <w:lang w:val="en-US" w:eastAsia="en-US" w:bidi="en-US"/>
          </w:rPr>
          <w:t>Portaria SEGES/ME nº 8.678, de 19 de julho de 2021</w:t>
        </w:r>
      </w:hyperlink>
      <w:r>
        <w:rPr>
          <w:rFonts w:ascii="Liberation Serif" w:hAnsi="Liberation Serif" w:eastAsia="Segoe UI"/>
          <w:i/>
          <w:iCs/>
          <w:color w:val="000000"/>
          <w:lang w:val="en-US" w:eastAsia="en-US" w:bidi="en-US"/>
        </w:rPr>
        <w:t xml:space="preserve">, o  Plano Diretor de Logística Sustentável é </w:t>
      </w:r>
      <w:r>
        <w:rPr>
          <w:rFonts w:ascii="Liberation Serif" w:hAnsi="Liberation Serif" w:eastAsia="Segoe UI"/>
          <w:i/>
          <w:iCs/>
          <w:color w:val="555555"/>
          <w:lang w:val="en-US" w:eastAsia="en-US" w:bidi="en-US"/>
        </w:rPr>
        <w:t> </w:t>
      </w:r>
      <w:r>
        <w:rPr>
          <w:rFonts w:ascii="Liberation Serif" w:hAnsi="Liberation Serif" w:eastAsia="Segoe UI"/>
          <w:i/>
          <w:iCs/>
          <w:color w:val="000000"/>
          <w:lang w:val="en-US" w:eastAsia="en-US" w:bidi="en-US"/>
        </w:rPr>
        <w:t>instrumento de governança, vinculado ao planejamento estratégico do órgão ou entidade, ou instrumento equivalente, e às leis orçamentárias, que estabelece a estratégia das contratações e da logística no âmbito do órgão ou entidade, considerando objetivos e ações referentes a critérios e a práticas de sustentabilidade, nas dimensões econômica, social, ambiental e cultural.</w:t>
      </w:r>
    </w:p>
    <w:p>
      <w:r>
        <w:rPr>
          <w:rFonts w:ascii="Liberation Serif" w:hAnsi="Liberation Serif" w:eastAsia="Segoe UI"/>
          <w:i/>
          <w:iCs/>
          <w:color w:val="000000"/>
          <w:lang w:val="en-US" w:eastAsia="en-US" w:bidi="en-US"/>
        </w:rPr>
        <w:t xml:space="preserve">Destaque-se ainda que, de acordo com o </w:t>
      </w:r>
      <w:r>
        <w:fldChar w:fldCharType="begin"/>
      </w:r>
      <w:r>
        <w:instrText> HYPERLINK "https://www.gov.br/compras/pt-br/acesso-a-informacao/legislacao/portarias/portaria-seges-me-no-8-678-de-19-de-julho-de-2021" \l "art8"</w:instrText>
      </w:r>
      <w:r>
        <w:fldChar w:fldCharType="separate"/>
      </w:r>
      <w:r>
        <w:rPr>
          <w:rFonts w:ascii="Liberation Serif" w:hAnsi="Liberation Serif" w:eastAsia="Segoe UI"/>
          <w:i/>
          <w:iCs/>
          <w:color w:val="000000"/>
          <w:lang w:val="en-US" w:eastAsia="en-US" w:bidi="en-US"/>
        </w:rPr>
        <w:t>artigo 8º, §1º, III, da Portaria SEGES/ME nº 8.678, de 2021</w:t>
      </w:r>
      <w:r>
        <w:fldChar w:fldCharType="end"/>
      </w:r>
      <w:r>
        <w:rPr>
          <w:rFonts w:ascii="Liberation Serif" w:hAnsi="Liberation Serif" w:eastAsia="Segoe UI"/>
          <w:i/>
          <w:iCs/>
          <w:color w:val="000000"/>
          <w:lang w:val="en-US" w:eastAsia="en-US" w:bidi="en-US"/>
        </w:rPr>
        <w:t xml:space="preserve">, o Plano Diretor de Logística Sustentável deverá nortear a elaboração dos anteprojetos, dos projetos básicos ou dos termos de referência de cada contratação. </w:t>
      </w:r>
    </w:p>
    <w:p>
      <w:r>
        <w:rPr>
          <w:rFonts w:ascii="Liberation Serif" w:hAnsi="Liberation Serif" w:eastAsia="Segoe UI"/>
          <w:b/>
          <w:bCs/>
          <w:i/>
          <w:iCs/>
          <w:color w:val="000000"/>
          <w:lang w:val="en-US" w:eastAsia="en-US" w:bidi="en-US"/>
        </w:rPr>
        <w:t xml:space="preserve">Nota Explicativa 3: </w:t>
      </w:r>
      <w:r>
        <w:rPr>
          <w:rFonts w:ascii="Liberation Serif" w:hAnsi="Liberation Serif" w:eastAsia="Segoe UI"/>
          <w:i/>
          <w:iCs/>
          <w:lang w:val="en-US" w:eastAsia="en-US" w:bidi="en-US"/>
        </w:rPr>
        <w:t xml:space="preserve">Os preceitos do desenvolvimento sustentável devem ser observados na fase preparatória da contratação, em suas dimensões econômica, social, ambiental e cultural, no mínimo, com base nos planos de gestão de logística sustentável dos órgãos e das entidades, conforme prevê o parágrafo único do </w:t>
      </w:r>
      <w:r>
        <w:fldChar w:fldCharType="begin"/>
      </w:r>
      <w:r>
        <w:instrText> HYPERLINK "https://www.gov.br/compras/pt-br/acesso-a-informacao/legislacao/instrucoes-normativas/instrucao-normativa-seges-me-no-73-de-30-de-setembro-de-2022" \l "art11"</w:instrText>
      </w:r>
      <w:r>
        <w:fldChar w:fldCharType="separate"/>
      </w:r>
      <w:r>
        <w:rPr>
          <w:rFonts w:ascii="Liberation Serif" w:hAnsi="Liberation Serif" w:eastAsia="Segoe UI"/>
          <w:i/>
          <w:iCs/>
          <w:lang w:val="en-US" w:eastAsia="en-US" w:bidi="en-US"/>
        </w:rPr>
        <w:t>artigo 11 da Instrução Normativa SEGES/ME nº 73, de 2022</w:t>
      </w:r>
      <w:r>
        <w:fldChar w:fldCharType="end"/>
      </w:r>
      <w:r>
        <w:rPr>
          <w:rFonts w:ascii="Liberation Serif" w:hAnsi="Liberation Serif" w:eastAsia="Segoe UI"/>
          <w:i/>
          <w:iCs/>
          <w:lang w:val="en-US" w:eastAsia="en-US" w:bidi="en-US"/>
        </w:rPr>
        <w:t>.</w:t>
      </w:r>
    </w:p>
    <w:p>
      <w:r>
        <w:rPr>
          <w:rFonts w:ascii="Liberation Serif" w:hAnsi="Liberation Serif" w:eastAsia="Segoe UI"/>
          <w:b/>
          <w:bCs/>
          <w:i/>
          <w:iCs/>
          <w:color w:val="000000"/>
          <w:lang w:val="en-US" w:eastAsia="en-US" w:bidi="en-US"/>
        </w:rPr>
        <w:t>Nota Explicativa 4:</w:t>
      </w:r>
      <w:r>
        <w:rPr>
          <w:rFonts w:ascii="Liberation Serif" w:hAnsi="Liberation Serif" w:eastAsia="Segoe UI"/>
          <w:i/>
          <w:iCs/>
          <w:color w:val="000000"/>
          <w:lang w:val="en-US" w:eastAsia="en-US" w:bidi="en-US"/>
        </w:rPr>
        <w:t xml:space="preserve"> Os critérios e práticas de sustentabilidade deverão ser registrados no sistema de ETP Digital, conforme previsão do </w:t>
      </w:r>
      <w:r>
        <w:fldChar w:fldCharType="begin"/>
      </w:r>
      <w:r>
        <w:instrText> HYPERLINK "https://www.gov.br/compras/pt-br/acesso-a-informacao/legislacao/instrucoes-normativas/instrucao-normativa-seges-no-58-de-8-de-agosto-de-2022" \l "art9"</w:instrText>
      </w:r>
      <w:r>
        <w:fldChar w:fldCharType="separate"/>
      </w:r>
      <w:r>
        <w:rPr>
          <w:rFonts w:ascii="Liberation Serif" w:hAnsi="Liberation Serif" w:eastAsia="Segoe UI"/>
          <w:i/>
          <w:iCs/>
          <w:color w:val="000000"/>
          <w:lang w:val="en-US" w:eastAsia="en-US" w:bidi="en-US"/>
        </w:rPr>
        <w:t>Art. 9º, II, da Instrução Normativa SEGES/ME nº 58, de 2022</w:t>
      </w:r>
      <w:r>
        <w:fldChar w:fldCharType="end"/>
      </w:r>
      <w:r>
        <w:rPr>
          <w:rFonts w:ascii="Liberation Serif" w:hAnsi="Liberation Serif" w:eastAsia="Segoe UI"/>
          <w:i/>
          <w:iCs/>
          <w:color w:val="000000"/>
          <w:lang w:val="en-US" w:eastAsia="en-US" w:bidi="en-US"/>
        </w:rPr>
        <w:t xml:space="preserve">. </w:t>
      </w:r>
    </w:p>
    <w:p>
      <w:r>
        <w:rPr>
          <w:rFonts w:ascii="Liberation Serif" w:hAnsi="Liberation Serif" w:eastAsia="Segoe UI"/>
          <w:i/>
          <w:iCs/>
          <w:color w:val="000000"/>
          <w:lang w:val="en-US" w:eastAsia="en-US" w:bidi="en-US"/>
        </w:rPr>
        <w:t xml:space="preserve">Soma-se a essa previsão, o </w:t>
      </w:r>
      <w:hyperlink r:id="rId7">
        <w:r>
          <w:rPr>
            <w:rFonts w:ascii="Liberation Serif" w:hAnsi="Liberation Serif" w:eastAsia="Segoe UI"/>
            <w:i/>
            <w:iCs/>
            <w:color w:val="000000"/>
            <w:lang w:val="en-US" w:eastAsia="en-US" w:bidi="en-US"/>
          </w:rPr>
          <w:t xml:space="preserve">Parecer n. </w:t>
        </w:r>
      </w:hyperlink>
      <w:r>
        <w:rPr>
          <w:rFonts w:ascii="Liberation Serif" w:hAnsi="Liberation Serif" w:eastAsia="Segoe UI"/>
          <w:i/>
          <w:iCs/>
          <w:color w:val="000080"/>
          <w:u w:val="single"/>
          <w:lang w:val="en-US" w:eastAsia="en-US" w:bidi="en-US"/>
        </w:rPr>
        <w:t>00001/2021/CNS/CGU/AGU, da Consultoria –Geral da União aprovado nos termos do DESPACHO n. 00525/2021/GAB/CGU/AGU (NUP: 00688.000723/2019-45)</w:t>
      </w:r>
      <w:r>
        <w:rPr>
          <w:rFonts w:ascii="Liberation Serif" w:hAnsi="Liberation Serif" w:eastAsia="Segoe UI"/>
          <w:i/>
          <w:iCs/>
          <w:color w:val="000000"/>
          <w:lang w:val="en-US" w:eastAsia="en-US" w:bidi="en-US"/>
        </w:rPr>
        <w:t xml:space="preserve"> que consolidou o entendimento de que a “administração pública é obrigada a adotar critérios e práticas de sustentabilidade socioambiental e de acessibilidade nas contratações públicas, nas fases de planejamento, seleção de fornecedor, execução contratual, fiscalização e na gestão dos resíduos sólidos.” </w:t>
      </w:r>
    </w:p>
    <w:p>
      <w:r>
        <w:rPr>
          <w:rFonts w:ascii="Liberation Serif" w:hAnsi="Liberation Serif" w:eastAsia="Segoe UI"/>
          <w:i/>
          <w:iCs/>
          <w:color w:val="000000"/>
          <w:lang w:val="en-US" w:eastAsia="en-US" w:bidi="en-US"/>
        </w:rPr>
        <w:t xml:space="preserve">Dessa forma, a sustentabilidade deve ser considerada pelo gestor público: a) na fase de planejamento da contratação, b) na elaboração das minutas, com consulta ao Guia, c) na fase de execução contratual e d) na adequada destinação ambiental dos resíduos decorrentes dos serviços prestados, levando em conta as diretrizes estabelecidas pela </w:t>
      </w:r>
      <w:hyperlink r:id="rId8">
        <w:r>
          <w:rPr>
            <w:rFonts w:ascii="Liberation Serif" w:hAnsi="Liberation Serif" w:eastAsia="Segoe UI"/>
            <w:i/>
            <w:iCs/>
            <w:color w:val="000000"/>
            <w:lang w:val="en-US" w:eastAsia="en-US" w:bidi="en-US"/>
          </w:rPr>
          <w:t>Lei 12.305/2010</w:t>
        </w:r>
      </w:hyperlink>
      <w:r>
        <w:rPr>
          <w:rFonts w:ascii="Liberation Serif" w:hAnsi="Liberation Serif" w:eastAsia="Segoe UI"/>
          <w:i/>
          <w:iCs/>
          <w:color w:val="000000"/>
          <w:lang w:val="en-US" w:eastAsia="en-US" w:bidi="en-US"/>
        </w:rPr>
        <w:t xml:space="preserve"> - Política Nacional de Resíduos Sólidos. Ainda que não constante do termo de referência, destaque-se que as contratações mediante pregão eletrônico deverão estar alinhadas com o Plano de Gestão e Logística Sustentável do órgão.</w:t>
      </w:r>
    </w:p>
    <w:p>
      <w:r>
        <w:rPr>
          <w:rFonts w:ascii="Liberation Serif" w:hAnsi="Liberation Serif" w:eastAsia="Segoe UI"/>
          <w:b/>
          <w:bCs/>
          <w:i/>
          <w:iCs/>
          <w:color w:val="000000"/>
          <w:lang w:val="en-US" w:eastAsia="en-US" w:bidi="en-US"/>
        </w:rPr>
        <w:t xml:space="preserve">Nota Explicativa 5: </w:t>
      </w:r>
      <w:r>
        <w:rPr>
          <w:rFonts w:ascii="Liberation Serif" w:hAnsi="Liberation Serif" w:eastAsia="Segoe UI"/>
          <w:i/>
          <w:iCs/>
          <w:color w:val="000000"/>
          <w:lang w:val="en-US" w:eastAsia="en-US" w:bidi="en-US"/>
        </w:rPr>
        <w:t xml:space="preserve">A impossibilidade de adoção de critérios e práticas de sustentabilidade nas contratações públicas deverá ser justificada pelo gestor competente nos Estudos Técnicos Preliminares ou nos autos do processo administrativo, com a indicação das pertinentes razões de fato e/ou direito, conforme o </w:t>
      </w:r>
      <w:hyperlink r:id="rId9">
        <w:r>
          <w:rPr>
            <w:rFonts w:ascii="Liberation Serif" w:hAnsi="Liberation Serif" w:eastAsia="Segoe UI"/>
            <w:i/>
            <w:iCs/>
            <w:color w:val="000000"/>
            <w:lang w:val="en-US" w:eastAsia="en-US" w:bidi="en-US"/>
          </w:rPr>
          <w:t>Parecer n. 00001/2021/CNS/CGU/AGU</w:t>
        </w:r>
      </w:hyperlink>
      <w:r>
        <w:rPr>
          <w:rFonts w:ascii="Liberation Serif" w:hAnsi="Liberation Serif" w:eastAsia="Segoe UI"/>
          <w:i/>
          <w:iCs/>
          <w:color w:val="000000"/>
          <w:lang w:val="en-US" w:eastAsia="en-US" w:bidi="en-US"/>
        </w:rPr>
        <w:t xml:space="preserve"> e previsão do </w:t>
      </w:r>
      <w:r>
        <w:fldChar w:fldCharType="begin"/>
      </w:r>
      <w:r>
        <w:instrText> HYPERLINK "https://www.gov.br/compras/pt-br/acesso-a-informacao/legislacao/instrucoes-normativas/instrucao-normativa-seges-no-58-de-8-de-agosto-de-2022" \l "art9§1"</w:instrText>
      </w:r>
      <w:r>
        <w:fldChar w:fldCharType="separate"/>
      </w:r>
      <w:r>
        <w:rPr>
          <w:rFonts w:ascii="Liberation Serif" w:hAnsi="Liberation Serif" w:eastAsia="Segoe UI"/>
          <w:i/>
          <w:iCs/>
          <w:color w:val="000000"/>
          <w:lang w:val="en-US" w:eastAsia="en-US" w:bidi="en-US"/>
        </w:rPr>
        <w:t>§1º do art. 9º da Instrução Normativa SEGES/ME nº 58, de 2022</w:t>
      </w:r>
      <w:r>
        <w:fldChar w:fldCharType="end"/>
      </w:r>
      <w:r>
        <w:rPr>
          <w:rFonts w:ascii="Liberation Serif" w:hAnsi="Liberation Serif" w:eastAsia="Segoe UI"/>
          <w:i/>
          <w:iCs/>
          <w:color w:val="000000"/>
          <w:lang w:val="en-US" w:eastAsia="en-US" w:bidi="en-US"/>
        </w:rPr>
        <w:t xml:space="preserve">, que dispõe sobre a elaboração dos Estudos Técnicos Preliminares - ETP.   </w:t>
      </w:r>
    </w:p>
    <w:p>
      <w:r>
        <w:rPr>
          <w:rFonts w:ascii="Liberation Serif" w:hAnsi="Liberation Serif" w:eastAsia="Segoe UI"/>
          <w:i/>
          <w:iCs/>
          <w:color w:val="000000"/>
          <w:lang w:val="en-US" w:eastAsia="en-US" w:bidi="en-US"/>
        </w:rPr>
        <w:t xml:space="preserve">Se houver justificativa nos autos para a não-adoção de critérios de sustentabilidade (e apenas nesse caso), deverá haver a supressão dos dispositivos específicos acima. </w:t>
      </w:r>
    </w:p>
    <w:p>
      <w:r>
        <w:rPr>
          <w:rFonts w:ascii="Liberation Serif" w:hAnsi="Liberation Serif" w:eastAsia="Segoe UI"/>
          <w:b/>
          <w:bCs/>
          <w:i/>
          <w:iCs/>
          <w:color w:val="000000"/>
          <w:lang w:val="en-US" w:eastAsia="en-US" w:bidi="en-US"/>
        </w:rPr>
        <w:t xml:space="preserve">Nota Explicativa 6: </w:t>
      </w:r>
      <w:r>
        <w:rPr>
          <w:rFonts w:ascii="Liberation Serif" w:hAnsi="Liberation Serif" w:eastAsia="Segoe UI"/>
          <w:i/>
          <w:iCs/>
          <w:color w:val="000000"/>
          <w:lang w:val="en-US" w:eastAsia="en-US" w:bidi="en-US"/>
        </w:rPr>
        <w:t xml:space="preserve">Aos agentes da administração pública federal encarregados de realizar contratações públicas, recomenda-se que, no exercício de suas atribuições funcionais, consultem o </w:t>
      </w:r>
      <w:hyperlink r:id="rId10">
        <w:r>
          <w:rPr>
            <w:rFonts w:ascii="Liberation Serif" w:hAnsi="Liberation Serif" w:eastAsia="Segoe UI"/>
            <w:i/>
            <w:iCs/>
            <w:color w:val="000000"/>
            <w:lang w:val="en-US" w:eastAsia="en-US" w:bidi="en-US"/>
          </w:rPr>
          <w:t>Guia Nacional de Contratações Sustentáveis da Advocacia-Geral da União</w:t>
        </w:r>
      </w:hyperlink>
      <w:r>
        <w:rPr>
          <w:rFonts w:ascii="Liberation Serif" w:hAnsi="Liberation Serif" w:eastAsia="Segoe UI"/>
          <w:i/>
          <w:iCs/>
          <w:color w:val="000000"/>
          <w:lang w:val="en-US" w:eastAsia="en-US" w:bidi="en-US"/>
        </w:rPr>
        <w:t xml:space="preserve">, disponibilizado pela Consultoria-Geral da União e no site da AGU. </w:t>
      </w:r>
    </w:p>
    <w:p>
      <w:r>
        <w:rPr>
          <w:rFonts w:ascii="Liberation Serif" w:hAnsi="Liberation Serif" w:eastAsia="Segoe UI"/>
          <w:b/>
          <w:bCs/>
          <w:i/>
          <w:iCs/>
          <w:color w:val="000000"/>
          <w:lang w:val="en-US" w:eastAsia="en-US" w:bidi="en-US"/>
        </w:rPr>
        <w:t xml:space="preserve">Nota Explicativa 7: </w:t>
      </w:r>
      <w:r>
        <w:rPr>
          <w:rFonts w:ascii="Liberation Serif" w:hAnsi="Liberation Serif" w:eastAsia="Segoe UI"/>
          <w:i/>
          <w:iCs/>
          <w:color w:val="000000"/>
          <w:lang w:val="en-US" w:eastAsia="en-US" w:bidi="en-US"/>
        </w:rPr>
        <w:t xml:space="preserve">De acordo com o </w:t>
      </w:r>
      <w:hyperlink r:id="rId11">
        <w:r>
          <w:rPr>
            <w:rFonts w:ascii="Liberation Serif" w:hAnsi="Liberation Serif" w:eastAsia="Segoe UI"/>
            <w:i/>
            <w:iCs/>
            <w:color w:val="000000"/>
            <w:lang w:val="en-US" w:eastAsia="en-US" w:bidi="en-US"/>
          </w:rPr>
          <w:t>Guia Nacional de Contratações Sustentáveis da AGU</w:t>
        </w:r>
      </w:hyperlink>
      <w:r>
        <w:rPr>
          <w:rFonts w:ascii="Liberation Serif" w:hAnsi="Liberation Serif" w:eastAsia="Segoe UI"/>
          <w:i/>
          <w:iCs/>
          <w:color w:val="000000"/>
          <w:lang w:val="en-US" w:eastAsia="en-US" w:bidi="en-US"/>
        </w:rPr>
        <w:t>, a inclusão de critérios de sustentabilidade deve ser feita de modo claro e objetivo. Deve-se evitar a transcrição literal e automática das previsões legais ou normativas, sem efetuar o exame da incidência real e efetiva delas na contratação em apreço.</w:t>
      </w:r>
    </w:p>
    <w:p>
      <w:r>
        <w:rPr>
          <w:rFonts w:ascii="Liberation Serif" w:hAnsi="Liberation Serif" w:eastAsia="Segoe UI"/>
          <w:i/>
          <w:iCs/>
          <w:color w:val="000000"/>
          <w:lang w:val="en-US" w:eastAsia="en-US" w:bidi="en-US"/>
        </w:rPr>
        <w:t>Assim, uma vez exigido qualquer requisito ambiental na especificação do objeto e/ou edital, e/ou contrato, deve ser prevista a forma objetiva de comprovação. É preciso saber quais critérios de sustentabilidade devem ser incluídos nos artefatos da contratação, como fazer essas exigências e de que forma as pretendidas contratadas devem comprovar o cumprimento desses critérios de sustentabilidade exigidos pela Administração. (</w:t>
      </w:r>
      <w:r>
        <w:fldChar w:fldCharType="begin"/>
      </w:r>
      <w:r>
        <w:instrText> HYPERLINK "https://www.gov.br/compras/pt-br/acesso-a-informacao/legislacao/instrucoes-normativas/instrucao-normativa-seges-no-58-de-8-de-agosto-de-2022" \l "art9"</w:instrText>
      </w:r>
      <w:r>
        <w:fldChar w:fldCharType="separate"/>
      </w:r>
      <w:r>
        <w:rPr>
          <w:rFonts w:ascii="Liberation Serif" w:hAnsi="Liberation Serif" w:eastAsia="Segoe UI"/>
          <w:i/>
          <w:iCs/>
          <w:color w:val="000000"/>
          <w:lang w:val="en-US" w:eastAsia="en-US" w:bidi="en-US"/>
        </w:rPr>
        <w:t>artigo 9, inciso XII, da Instrução Normativa SEGES/ME nº 58, de 2022</w:t>
      </w:r>
      <w:r>
        <w:fldChar w:fldCharType="end"/>
      </w:r>
      <w:r>
        <w:rPr>
          <w:rFonts w:ascii="Liberation Serif" w:hAnsi="Liberation Serif" w:eastAsia="Segoe UI"/>
          <w:i/>
          <w:iCs/>
          <w:color w:val="000000"/>
          <w:lang w:val="en-US" w:eastAsia="en-US" w:bidi="en-US"/>
        </w:rPr>
        <w:t>, que dispõe sobre a elaboração dos Estudos Técnicos Preliminares - ETP)</w:t>
      </w:r>
    </w:p>
    <w:p>
      <w:r>
        <w:rPr>
          <w:rFonts w:ascii="Liberation Serif" w:hAnsi="Liberation Serif" w:eastAsia="Segoe UI"/>
          <w:b/>
          <w:bCs/>
          <w:i/>
          <w:iCs/>
          <w:color w:val="000000"/>
          <w:lang w:val="en-US" w:eastAsia="en-US" w:bidi="en-US"/>
        </w:rPr>
        <w:t xml:space="preserve">Nota Explicativa 8: </w:t>
      </w:r>
      <w:r>
        <w:rPr>
          <w:rFonts w:ascii="Liberation Serif" w:hAnsi="Liberation Serif" w:eastAsia="Segoe UI"/>
          <w:i/>
          <w:iCs/>
          <w:color w:val="000000"/>
          <w:lang w:val="en-US" w:eastAsia="en-US" w:bidi="en-US"/>
        </w:rPr>
        <w:t>Nas aquisições e contratações governamentais, deve ser dada prioridade para produtos reciclados e recicláveis e para bens, serviços e obras que considerem critérios compatíveis com padrões de consumo sustentáveis (</w:t>
      </w:r>
      <w:r>
        <w:fldChar w:fldCharType="begin"/>
      </w:r>
      <w:r>
        <w:instrText> HYPERLINK "https://www.planalto.gov.br/ccivil_03/_ato2007-2010/2010/lei/l12305.htm" \l "art7"</w:instrText>
      </w:r>
      <w:r>
        <w:fldChar w:fldCharType="separate"/>
      </w:r>
      <w:r>
        <w:rPr>
          <w:rFonts w:ascii="Liberation Serif" w:hAnsi="Liberation Serif" w:eastAsia="Segoe UI"/>
          <w:i/>
          <w:iCs/>
          <w:color w:val="000000"/>
          <w:lang w:val="en-US" w:eastAsia="en-US" w:bidi="en-US"/>
        </w:rPr>
        <w:t>artigo 7º, XI, da Lei nº 12.305, de 2010</w:t>
      </w:r>
      <w:r>
        <w:fldChar w:fldCharType="end"/>
      </w:r>
      <w:r>
        <w:rPr>
          <w:rFonts w:ascii="Liberation Serif" w:hAnsi="Liberation Serif" w:eastAsia="Segoe UI"/>
          <w:i/>
          <w:iCs/>
          <w:color w:val="000000"/>
          <w:lang w:val="en-US" w:eastAsia="en-US" w:bidi="en-US"/>
        </w:rPr>
        <w:t xml:space="preserve"> – Política Nacional de Resíduos Sólidos). Deve-se observar, também, a regulamentação a ser editada a luz da nova legislação.</w:t>
      </w:r>
    </w:p>
    <w:p>
      <w:r>
        <w:rPr>
          <w:rFonts w:ascii="Liberation Serif" w:hAnsi="Liberation Serif" w:eastAsia="Segoe UI"/>
          <w:b/>
          <w:bCs/>
          <w:i/>
          <w:iCs/>
          <w:color w:val="000000"/>
          <w:lang w:val="en-US" w:eastAsia="en-US" w:bidi="en-US"/>
        </w:rPr>
        <w:t xml:space="preserve">Nota Explicativa 9: </w:t>
      </w:r>
      <w:r>
        <w:rPr>
          <w:rFonts w:ascii="Liberation Serif" w:hAnsi="Liberation Serif" w:eastAsia="Segoe UI"/>
          <w:i/>
          <w:iCs/>
          <w:color w:val="000000"/>
          <w:lang w:val="en-US" w:eastAsia="en-US" w:bidi="en-US"/>
        </w:rPr>
        <w:t xml:space="preserve">Recomenda-se, igualmente, consulta ao Catálogo de Materiais Sustentáveis (CATMAT Sustentável), bem como consulta prévia ao site governamental </w:t>
      </w:r>
      <w:hyperlink r:id="rId12">
        <w:r>
          <w:rPr>
            <w:rFonts w:ascii="Liberation Serif" w:hAnsi="Liberation Serif" w:eastAsia="Segoe UI"/>
            <w:i/>
            <w:iCs/>
            <w:color w:val="000000"/>
            <w:lang w:val="en-US" w:eastAsia="en-US" w:bidi="en-US"/>
          </w:rPr>
          <w:t>https://doacoes.gov.br</w:t>
        </w:r>
      </w:hyperlink>
      <w:r>
        <w:rPr>
          <w:rFonts w:ascii="Liberation Serif" w:hAnsi="Liberation Serif" w:eastAsia="Segoe UI"/>
          <w:i/>
          <w:iCs/>
          <w:color w:val="000000"/>
          <w:lang w:val="en-US" w:eastAsia="en-US" w:bidi="en-US"/>
        </w:rPr>
        <w:t>/, solução desenvolvida pelo Ministério da Gestão e da Inovação em Serviços Públicos, que oferta bens móveis e serviços para a administração pública, disponibilizados pelos próprios órgãos de governo ou oferecidos por particulares de forma não onerosa, otimizando a gestão do recurso público com consumo consciente e sustentável.</w:t>
      </w:r>
    </w:p>
  </w:comment>
  <w:comment w:id="10" w:author="Autor" w:date="0-00-00T00:00:00Z" w:initials="A">
    <w:p>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Não se admite a exigência de subcontratação para o fornecimento de bens, exceto quando estiver vinculado à prestação de serviços acessórios. Observe-se, ainda, que é vedada a subcontratação completa ou da parcela principal da obrigação.</w:t>
      </w:r>
    </w:p>
    <w:p>
      <w:r>
        <w:rPr>
          <w:rFonts w:ascii="Liberation Serif" w:hAnsi="Liberation Serif" w:eastAsia="Segoe UI"/>
          <w:lang w:val="en-US" w:eastAsia="en-US" w:bidi="en-US"/>
        </w:rPr>
      </w:r>
    </w:p>
    <w:p>
      <w:r>
        <w:rPr>
          <w:rFonts w:ascii="Liberation Serif" w:hAnsi="Liberation Serif" w:eastAsia="Segoe UI"/>
          <w:b/>
          <w:bCs/>
          <w:i/>
          <w:iCs/>
          <w:color w:val="000000"/>
          <w:lang w:val="en-US" w:eastAsia="en-US" w:bidi="en-US"/>
        </w:rPr>
        <w:t>Nota Explicativa 2:</w:t>
      </w:r>
      <w:r>
        <w:rPr>
          <w:rFonts w:ascii="Liberation Serif" w:hAnsi="Liberation Serif" w:eastAsia="Segoe UI"/>
          <w:i/>
          <w:iCs/>
          <w:color w:val="000000"/>
          <w:lang w:val="en-US" w:eastAsia="en-US" w:bidi="en-US"/>
        </w:rPr>
        <w:t xml:space="preserve"> A subcontratação deve ser avaliada à luz do </w:t>
      </w:r>
      <w:hyperlink r:id="rId13">
        <w:r>
          <w:rPr>
            <w:rFonts w:ascii="Liberation Serif" w:hAnsi="Liberation Serif" w:eastAsia="Segoe UI"/>
            <w:i/>
            <w:iCs/>
            <w:color w:val="000000"/>
            <w:lang w:val="en-US" w:eastAsia="en-US" w:bidi="en-US"/>
          </w:rPr>
          <w:t>artigo 122 da Lei nº 14.133, de 2021</w:t>
        </w:r>
      </w:hyperlink>
      <w:r>
        <w:rPr>
          <w:rFonts w:ascii="Liberation Serif" w:hAnsi="Liberation Serif" w:eastAsia="Segoe UI"/>
          <w:i/>
          <w:iCs/>
          <w:color w:val="000000"/>
          <w:lang w:val="en-US" w:eastAsia="en-US" w:bidi="en-US"/>
        </w:rPr>
        <w:t>:</w:t>
      </w:r>
    </w:p>
    <w:p>
      <w:r>
        <w:rPr>
          <w:rFonts w:ascii="Liberation Serif" w:hAnsi="Liberation Serif" w:eastAsia="Segoe UI"/>
          <w:i/>
          <w:iCs/>
          <w:color w:val="000000"/>
          <w:lang w:val="en-US" w:eastAsia="en-US" w:bidi="en-US"/>
        </w:rPr>
        <w:t>“Art. 122. Na execução do contrato e sem prejuízo das responsabilidades contratuais e legais, o contratado poderá subcontratar partes da obra, do serviço ou do fornecimento até o limite autorizado, em cada caso, pela Administração.</w:t>
      </w:r>
    </w:p>
    <w:p>
      <w:r>
        <w:rPr>
          <w:rFonts w:ascii="Liberation Serif" w:hAnsi="Liberation Serif" w:eastAsia="Segoe UI"/>
          <w:i/>
          <w:iCs/>
          <w:color w:val="000000"/>
          <w:lang w:val="en-US" w:eastAsia="en-US" w:bidi="en-US"/>
        </w:rPr>
        <w:t>§ 1º O contratado apresentará à Administração documentação que comprove a capacidade técnica do subcontratado, que será avaliada e juntada aos autos do processo correspondente.</w:t>
      </w:r>
    </w:p>
    <w:p>
      <w:r>
        <w:rPr>
          <w:rFonts w:ascii="Liberation Serif" w:hAnsi="Liberation Serif" w:eastAsia="Segoe UI"/>
          <w:i/>
          <w:iCs/>
          <w:color w:val="000000"/>
          <w:lang w:val="en-US" w:eastAsia="en-US" w:bidi="en-US"/>
        </w:rPr>
        <w:t>§ 2º Regulamento ou edital de licitação poderão vedar, restringir ou estabelecer condições para a subcontratação.</w:t>
      </w:r>
    </w:p>
    <w:p>
      <w:r>
        <w:rPr>
          <w:rFonts w:ascii="Liberation Serif" w:hAnsi="Liberation Serif" w:eastAsia="Segoe UI"/>
          <w:i/>
          <w:iCs/>
          <w:color w:val="000000"/>
          <w:lang w:val="en-US" w:eastAsia="en-US" w:bidi="en-US"/>
        </w:rPr>
        <w:t>§ 3º Será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 devendo essa proibição constar expressamente do edital de licitação.”</w:t>
      </w:r>
    </w:p>
  </w:comment>
  <w:comment w:id="11" w:author="Autor" w:date="0-00-00T00:00:00Z" w:initials="A">
    <w:p>
      <w:r>
        <w:rPr>
          <w:rFonts w:ascii="Liberation Serif" w:hAnsi="Liberation Serif" w:eastAsia="Segoe UI"/>
          <w:b/>
          <w:bCs/>
          <w:i/>
          <w:iCs/>
          <w:color w:val="000000"/>
          <w:lang w:val="en-US" w:eastAsia="en-US" w:bidi="en-US"/>
        </w:rPr>
        <w:t xml:space="preserve">Nota Explicativa 1: </w:t>
      </w:r>
      <w:r>
        <w:rPr>
          <w:rFonts w:ascii="Liberation Serif" w:hAnsi="Liberation Serif" w:eastAsia="Segoe UI"/>
          <w:i/>
          <w:iCs/>
          <w:lang w:val="en-US" w:eastAsia="en-US" w:bidi="en-US"/>
        </w:rPr>
        <w:t xml:space="preserve">Neste momento, a área técnica competente deverá indicar se será, ou não, exigida a garantia de execução do objeto para a contratação. </w:t>
      </w:r>
    </w:p>
    <w:p>
      <w:r>
        <w:rPr>
          <w:rFonts w:ascii="Liberation Serif" w:hAnsi="Liberation Serif" w:eastAsia="Segoe UI"/>
          <w:lang w:val="en-US" w:eastAsia="en-US" w:bidi="en-US"/>
        </w:rPr>
      </w:r>
    </w:p>
    <w:p>
      <w:r>
        <w:rPr>
          <w:rFonts w:ascii="Liberation Serif" w:hAnsi="Liberation Serif" w:eastAsia="Segoe UI"/>
          <w:b/>
          <w:bCs/>
          <w:i/>
          <w:iCs/>
          <w:color w:val="000000"/>
          <w:lang w:val="en-US" w:eastAsia="en-US" w:bidi="en-US"/>
        </w:rPr>
        <w:t>Nota Explicativa 2:</w:t>
      </w:r>
      <w:r>
        <w:rPr>
          <w:rFonts w:ascii="Liberation Serif" w:hAnsi="Liberation Serif" w:eastAsia="Segoe UI"/>
          <w:i/>
          <w:iCs/>
          <w:color w:val="000000"/>
          <w:lang w:val="en-US" w:eastAsia="en-US" w:bidi="en-US"/>
        </w:rPr>
        <w:t xml:space="preserve"> O percentual da garantia será de: </w:t>
      </w:r>
    </w:p>
    <w:p>
      <w:r>
        <w:rPr>
          <w:rFonts w:ascii="Liberation Serif" w:hAnsi="Liberation Serif" w:eastAsia="Segoe UI"/>
          <w:i/>
          <w:iCs/>
          <w:color w:val="000000"/>
          <w:lang w:val="en-US" w:eastAsia="en-US" w:bidi="en-US"/>
        </w:rPr>
        <w:t>a) até 5% (cinco por cento) do valor inicial do contrato, para contratações em geral, conforme art. 98 da Lei nº 14.133, de 2021; </w:t>
      </w:r>
    </w:p>
    <w:p>
      <w:r>
        <w:rPr>
          <w:rFonts w:ascii="Liberation Serif" w:hAnsi="Liberation Serif" w:eastAsia="Segoe UI"/>
          <w:i/>
          <w:iCs/>
          <w:color w:val="000000"/>
          <w:lang w:val="en-US" w:eastAsia="en-US" w:bidi="en-US"/>
        </w:rPr>
        <w:t>b) até 10% (dez por cento) do valor inicial do contrato, nos casos de alta complexidade técnica e riscos envolvidos, caso em que deverá haver justificativa específica nos autos, conforme art. 98 da Lei nº 14.133, de 2021; </w:t>
      </w:r>
    </w:p>
    <w:p>
      <w:r>
        <w:rPr>
          <w:rFonts w:ascii="Liberation Serif" w:hAnsi="Liberation Serif" w:eastAsia="Segoe UI"/>
          <w:i/>
          <w:iCs/>
          <w:color w:val="000000"/>
          <w:lang w:val="en-US" w:eastAsia="en-US" w:bidi="en-US"/>
        </w:rPr>
        <w:t>c) deverá ser acrescido de garantia adicional aos percentuais citados anteriormente, em casos de previsão de antecipação de pagamento, nos termos do art. 145, § 2º, da Lei nº 14.133, de 2021. </w:t>
      </w:r>
    </w:p>
    <w:p>
      <w:r>
        <w:rPr>
          <w:rFonts w:ascii="Liberation Serif" w:hAnsi="Liberation Serif" w:eastAsia="Segoe UI"/>
          <w:i/>
          <w:iCs/>
          <w:color w:val="000000"/>
          <w:lang w:val="en-US" w:eastAsia="en-US" w:bidi="en-US"/>
        </w:rPr>
        <w:t>d) nos casos de contratos que impliquem a entrega de bens pela Administração, dos quais o contratado ficará depositário, o valor desses bens deverá ser acrescido ao valor da garantia calculado de acordo com os itens anteriores. </w:t>
      </w:r>
    </w:p>
    <w:p>
      <w:r>
        <w:rPr>
          <w:rFonts w:ascii="Liberation Serif" w:hAnsi="Liberation Serif" w:eastAsia="Segoe UI"/>
          <w:lang w:val="en-US" w:eastAsia="en-US" w:bidi="en-US"/>
        </w:rPr>
      </w:r>
    </w:p>
    <w:p>
      <w:r>
        <w:rPr>
          <w:rFonts w:ascii="Liberation Serif" w:hAnsi="Liberation Serif" w:eastAsia="Segoe UI"/>
          <w:b/>
          <w:bCs/>
          <w:i/>
          <w:iCs/>
          <w:color w:val="000000"/>
          <w:lang w:val="en-US" w:eastAsia="en-US" w:bidi="en-US"/>
        </w:rPr>
        <w:t>Nota explicativa 3:</w:t>
      </w:r>
      <w:r>
        <w:rPr>
          <w:rFonts w:ascii="Liberation Serif" w:hAnsi="Liberation Serif" w:eastAsia="Segoe UI"/>
          <w:i/>
          <w:iCs/>
          <w:color w:val="000000"/>
          <w:lang w:val="en-US" w:eastAsia="en-US" w:bidi="en-US"/>
        </w:rPr>
        <w:t xml:space="preserve"> Nos casos de fornecimentos contínuos com duração até um ano, a garantia será calculada com base no valor total do contrato. Se de duração superior a um ano, o será com base no valor anual. Nos demais casos (serviços ou fornecimentos não-contínuos), o será com base no valor inicial.</w:t>
      </w:r>
    </w:p>
    <w:p>
      <w:r>
        <w:rPr>
          <w:rFonts w:ascii="Liberation Serif" w:hAnsi="Liberation Serif" w:eastAsia="Segoe UI"/>
          <w:lang w:val="en-US" w:eastAsia="en-US" w:bidi="en-US"/>
        </w:rPr>
      </w:r>
    </w:p>
    <w:p>
      <w:r>
        <w:rPr>
          <w:rFonts w:ascii="Liberation Serif" w:hAnsi="Liberation Serif" w:eastAsia="Segoe UI"/>
          <w:b/>
          <w:bCs/>
          <w:i/>
          <w:iCs/>
          <w:color w:val="000000"/>
          <w:lang w:val="en-US" w:eastAsia="en-US" w:bidi="en-US"/>
        </w:rPr>
        <w:t>Nota explicativa 4:</w:t>
      </w:r>
      <w:r>
        <w:rPr>
          <w:rFonts w:ascii="Liberation Serif" w:hAnsi="Liberation Serif" w:eastAsia="Segoe UI"/>
          <w:i/>
          <w:iCs/>
          <w:color w:val="000000"/>
          <w:lang w:val="en-US" w:eastAsia="en-US" w:bidi="en-US"/>
        </w:rPr>
        <w:t xml:space="preserve"> O art. 96, §1º, da Lei nº 14.133, de 2021, estabelece as modalidades de garantia da execução contratual, que incluem caução, seguro-garantia, fiança bancária e título de capitalização. A escolha entre essas quatro modalidades de garantia é uma prerrogativa do contratado. </w:t>
      </w:r>
    </w:p>
    <w:p>
      <w:r>
        <w:rPr>
          <w:rFonts w:ascii="Liberation Serif" w:hAnsi="Liberation Serif" w:eastAsia="Segoe UI"/>
          <w:i/>
          <w:iCs/>
          <w:lang w:val="en-US" w:eastAsia="en-US" w:bidi="en-US"/>
        </w:rPr>
        <w:t xml:space="preserve">Para a modalidade de seguro-garantia, o §3º do art. 96 da Lei nº 14.133, de 2021, impõe que a prestação da garantia ocorra antes da assinatura do contrato, no prazo mínimo de um mês, a ser estabelecido em </w:t>
      </w:r>
      <w:r>
        <w:rPr>
          <w:rFonts w:ascii="Liberation Serif" w:hAnsi="Liberation Serif" w:eastAsia="Segoe UI"/>
          <w:lang w:val="en-US" w:eastAsia="en-US" w:bidi="en-US"/>
        </w:rPr>
        <w:t>edital,  contado</w:t>
      </w:r>
      <w:r>
        <w:rPr>
          <w:rFonts w:ascii="Liberation Serif" w:hAnsi="Liberation Serif" w:eastAsia="Segoe UI"/>
          <w:i/>
          <w:iCs/>
          <w:lang w:val="en-US" w:eastAsia="en-US" w:bidi="en-US"/>
        </w:rPr>
        <w:t xml:space="preserve"> da homologação da licitação. A mesma regra deverá ser aplicada, por analogia, às contratações diretas precedidas de dispensa eletrônica. </w:t>
      </w:r>
    </w:p>
    <w:p>
      <w:r>
        <w:rPr>
          <w:rFonts w:ascii="Liberation Serif" w:hAnsi="Liberation Serif" w:eastAsia="Segoe UI"/>
          <w:i/>
          <w:iCs/>
          <w:color w:val="000000"/>
          <w:lang w:val="en-US" w:eastAsia="en-US" w:bidi="en-US"/>
        </w:rPr>
        <w:t>Para as demais modalidades, prevalece o disposto no item 3.1, alínea “a”, do Anexo VII-F, da Instrução Normativa SEGES/MP nº 05, de 2017, que fixa o prazo de 10 dias, prorrogáveis por igual período, a critério do órgão contratante, contado da assinatura do contrato para prestação da garantia. </w:t>
      </w:r>
    </w:p>
  </w:comment>
  <w:comment w:id="12" w:author="Autor" w:date="0-00-00T00:00:00Z" w:initials="A">
    <w:p>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Nos termos do art. 48, III da Lei Complementar n. 123, de 2006 (atualizada pela LC n. 147/2014), a Administração deverá estabelecer, em certames para aquisição de bens de natureza divisível, cota de até 25% (vinte e cinco por cento) do objeto para a contratação de microempresas e empresas de pequeno porte. Por essa razão, a parcela de até 25% (vinte e cinco por cento) dos quantitativos divisíveis deverá ser destinada exclusivamente a ME/EPP beneficiadas pela LC n. 123/2006. Essas “cotas reservadas” deverão ser definidas em função de cada item separadamente ou, nas licitações por preço global, em função do valor estimado para o grupo ou o lote da licitação que deve ser considerado como um único item (art. 9º, inciso I do Decreto n. 8.538, de 2015). O Termo de Referência deverá identificar as cotas reservadas para ME/EPP, assim como os respectivos itens/grupos de origem, de onde foram desmembradas.</w:t>
      </w:r>
    </w:p>
    <w:p>
      <w:r>
        <w:rPr>
          <w:rFonts w:ascii="Liberation Serif" w:hAnsi="Liberation Serif" w:eastAsia="Segoe UI"/>
          <w:i/>
          <w:iCs/>
          <w:color w:val="000000"/>
          <w:lang w:val="en-US" w:eastAsia="en-US" w:bidi="en-US"/>
        </w:rPr>
        <w:t xml:space="preserve">A fixação das cotas reservadas poderá ser justificadamente excepcionada nas hipóteses do art. 10, incisos I, II e IV do Decreto nº 8.538, de 2015, ou seja, quando: "I - não houver o mínimo de três fornecedores competitivos enquadrados como microempresas [...] capazes de cumprir as exigências estabelecidas no instrumento convocatório; II - o tratamento diferenciado e simplificado para as microempresas e as empresas de pequeno porte não for vantajoso para a administração pública  ou representar prejuízo ao conjunto ou complexo do objeto a ser contratado, justificadamente; [...] IV - o tratamento diferenciado e simplificado não for capaz de alcançar, justificadamente, pelo menos um dos objetivos previstos no art. 1º". </w:t>
      </w:r>
    </w:p>
    <w:p>
      <w:r>
        <w:rPr>
          <w:rFonts w:ascii="Liberation Serif" w:hAnsi="Liberation Serif" w:eastAsia="Segoe UI"/>
          <w:i/>
          <w:iCs/>
          <w:color w:val="000000"/>
          <w:lang w:val="en-US" w:eastAsia="en-US" w:bidi="en-US"/>
        </w:rPr>
        <w:t>Considera-se “não vantajosa a contratação” quando: I - resultar em preço superior ao valor estabelecido como referência; ou II - a natureza do bem, serviço ou obra for incompatível com a aplicação do benefício (Decreto nº 8.538, de 2015, art. 10, parágrafo único).</w:t>
      </w:r>
    </w:p>
    <w:p>
      <w:r>
        <w:rPr>
          <w:rFonts w:ascii="Liberation Serif" w:hAnsi="Liberation Serif" w:eastAsia="Segoe UI"/>
          <w:lang w:val="en-US" w:eastAsia="en-US" w:bidi="en-US"/>
        </w:rPr>
      </w:r>
    </w:p>
    <w:p>
      <w:r>
        <w:rPr>
          <w:rFonts w:ascii="Liberation Serif" w:hAnsi="Liberation Serif" w:eastAsia="Segoe UI"/>
          <w:b/>
          <w:bCs/>
          <w:i/>
          <w:iCs/>
          <w:color w:val="000000"/>
          <w:lang w:val="en-US" w:eastAsia="en-US" w:bidi="en-US"/>
        </w:rPr>
        <w:t>Nota explicativa 2</w:t>
      </w:r>
      <w:r>
        <w:rPr>
          <w:rFonts w:ascii="Liberation Serif" w:hAnsi="Liberation Serif" w:eastAsia="Segoe UI"/>
          <w:i/>
          <w:iCs/>
          <w:color w:val="000000"/>
          <w:lang w:val="en-US" w:eastAsia="en-US" w:bidi="en-US"/>
        </w:rPr>
        <w:t>: A indicação das cotas reservadas, nos termos do inciso III do art. 48, da LC n. 123, de 2006, não é cabível para os itens e grupos alcançados pela exclusividade de que trata o inciso I do mesmo dispositivo para licitações com valor igual ou inferior a R$80.000,00.</w:t>
      </w:r>
    </w:p>
    <w:p>
      <w:r>
        <w:rPr>
          <w:rFonts w:ascii="Liberation Serif" w:hAnsi="Liberation Serif" w:eastAsia="Segoe UI"/>
          <w:lang w:val="en-US" w:eastAsia="en-US" w:bidi="en-US"/>
        </w:rPr>
      </w:r>
    </w:p>
    <w:p>
      <w:r>
        <w:rPr>
          <w:rFonts w:ascii="Liberation Serif" w:hAnsi="Liberation Serif" w:eastAsia="Segoe UI"/>
          <w:b/>
          <w:bCs/>
          <w:i/>
          <w:iCs/>
          <w:color w:val="000000"/>
          <w:lang w:val="en-US" w:eastAsia="en-US" w:bidi="en-US"/>
        </w:rPr>
        <w:t xml:space="preserve">Nota explicativa 3: </w:t>
      </w:r>
      <w:r>
        <w:rPr>
          <w:rFonts w:ascii="Liberation Serif" w:hAnsi="Liberation Serif" w:eastAsia="Segoe UI"/>
          <w:i/>
          <w:iCs/>
          <w:color w:val="000000"/>
          <w:lang w:val="en-US" w:eastAsia="en-US" w:bidi="en-US"/>
        </w:rPr>
        <w:t>Nos termos do Despacho do Advogado-Geral da União nº 71, de 17 de março de 2021 (NUP: 25000.193248/2018-73), a cota de 25% de contratações reservada a microempresas e empresas de pequeno porte prevista no inciso III do art. 48 da Lei Complementar nº 123, de 14 de dezembro de 2006, não está limitada ao valor de R$80.000,00 previsto no inciso I do mesmo artigo, pois são direitos independentes um do outro.</w:t>
      </w:r>
    </w:p>
  </w:comment>
  <w:comment w:id="13" w:author="Autor" w:date="0-00-00T00:00:00Z" w:initials="A">
    <w:p>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Este item deve ser adaptado de acordo com as necessidades específicas do órgão ou entidade, apresentando-se, este modelo, de forma meramente exemplificativa.</w:t>
      </w:r>
    </w:p>
    <w:p>
      <w:r>
        <w:rPr>
          <w:rFonts w:ascii="Liberation Serif" w:hAnsi="Liberation Serif" w:eastAsia="Segoe UI"/>
          <w:lang w:val="en-US" w:eastAsia="en-US" w:bidi="en-US"/>
        </w:rPr>
      </w:r>
    </w:p>
    <w:p>
      <w:r>
        <w:rPr>
          <w:rFonts w:ascii="Liberation Serif" w:hAnsi="Liberation Serif" w:eastAsia="Segoe UI"/>
          <w:b/>
          <w:bCs/>
          <w:i/>
          <w:iCs/>
          <w:color w:val="000000"/>
          <w:lang w:val="en-US" w:eastAsia="en-US" w:bidi="en-US"/>
        </w:rPr>
        <w:t xml:space="preserve">Nota Explicativa 2: </w:t>
      </w:r>
      <w:r>
        <w:rPr>
          <w:rFonts w:ascii="Liberation Serif" w:hAnsi="Liberation Serif" w:eastAsia="Segoe UI"/>
          <w:i/>
          <w:iCs/>
          <w:lang w:val="en-US" w:eastAsia="en-US" w:bidi="en-US"/>
        </w:rPr>
        <w:t xml:space="preserve">A descrição das tarefas básicas depende das características específicas do serviço contratado e da realidade de cada órgão. Esse item é importante para a eficácia da contratação, ainda mais em se tratando da contratação de serviços executados com regime de dedicação exclusiva de mão de obra. Deverão ser detalhadas de forma minuciosa as tarefas a serem desenvolvidas pelos empregados alocados e o respectivo método ou rotina de execução, inclusive com a indicação de frequência e periodicidade dos serviços, quando couber, vez que, quando da fiscalização contratual, a Administração só poderá exigir do contratado o cumprimento das atividades que tenham sido expressamente arroladas no Termo de Referência. </w:t>
      </w:r>
    </w:p>
    <w:p>
      <w:r>
        <w:rPr>
          <w:rFonts w:ascii="Liberation Serif" w:hAnsi="Liberation Serif" w:eastAsia="Segoe UI"/>
          <w:lang w:val="en-US" w:eastAsia="en-US" w:bidi="en-US"/>
        </w:rPr>
      </w:r>
    </w:p>
    <w:p>
      <w:r>
        <w:rPr>
          <w:rFonts w:ascii="Liberation Serif" w:hAnsi="Liberation Serif" w:eastAsia="Segoe UI"/>
          <w:lang w:val="en-US" w:eastAsia="en-US" w:bidi="en-US"/>
        </w:rPr>
        <w:t xml:space="preserve">Nota explicativa 3: A Administração deverá atentar, quando for o caso, para a existência de regulamentações específicas relativas a determinados serviços, no que tange à respectiva metodologia de execução, como se passa, por exemplo, em relação aos serviços de limpeza e vigilância, que possuem cadernos de logística próprios. </w:t>
      </w:r>
    </w:p>
  </w:comment>
  <w:comment w:id="14" w:author="Autor" w:date="0-00-00T00:00:00Z" w:initials="A">
    <w:p>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xml:space="preserve"> Fica a critério da Administração exigir - ou não - a garantia contratual dos bens, complementar à garantia legal, mediante a devida fundamentação, a ser exposta neste item do Termo de Referência. Não a exigindo, deverá suprimir o item. </w:t>
      </w:r>
    </w:p>
    <w:p>
      <w:r>
        <w:rPr>
          <w:rFonts w:ascii="Liberation Serif" w:hAnsi="Liberation Serif" w:eastAsia="Segoe UI"/>
          <w:lang w:val="en-US" w:eastAsia="en-US" w:bidi="en-US"/>
        </w:rPr>
      </w:r>
    </w:p>
    <w:p>
      <w:r>
        <w:rPr>
          <w:rFonts w:ascii="Liberation Serif" w:hAnsi="Liberation Serif" w:eastAsia="Segoe UI"/>
          <w:b/>
          <w:bCs/>
          <w:i/>
          <w:iCs/>
          <w:color w:val="000000"/>
          <w:lang w:val="en-US" w:eastAsia="en-US" w:bidi="en-US"/>
        </w:rPr>
        <w:t>Nota Explicativa 2</w:t>
      </w:r>
      <w:r>
        <w:rPr>
          <w:rFonts w:ascii="Liberation Serif" w:hAnsi="Liberation Serif" w:eastAsia="Segoe UI"/>
          <w:i/>
          <w:iCs/>
          <w:color w:val="000000"/>
          <w:lang w:val="en-US" w:eastAsia="en-US" w:bidi="en-US"/>
        </w:rPr>
        <w:t xml:space="preserve">: O </w:t>
      </w:r>
      <w:hyperlink r:id="rId14">
        <w:r>
          <w:rPr>
            <w:rFonts w:ascii="Liberation Serif" w:hAnsi="Liberation Serif" w:eastAsia="Segoe UI"/>
            <w:i/>
            <w:iCs/>
            <w:color w:val="000000"/>
            <w:lang w:val="en-US" w:eastAsia="en-US" w:bidi="en-US"/>
          </w:rPr>
          <w:t xml:space="preserve">artigo 9º, inciso alínea “d” </w:t>
        </w:r>
      </w:hyperlink>
      <w:hyperlink r:id="rId15">
        <w:r>
          <w:rPr>
            <w:rFonts w:ascii="Liberation Serif" w:hAnsi="Liberation Serif" w:eastAsia="Segoe UI"/>
            <w:i/>
            <w:iCs/>
            <w:color w:val="000000"/>
            <w:lang w:val="en-US" w:eastAsia="en-US" w:bidi="en-US"/>
          </w:rPr>
          <w:t>da IN Seges/ME nº 81</w:t>
        </w:r>
      </w:hyperlink>
      <w:r>
        <w:rPr>
          <w:rFonts w:ascii="Liberation Serif" w:hAnsi="Liberation Serif" w:eastAsia="Segoe UI"/>
          <w:i/>
          <w:iCs/>
          <w:lang w:val="en-US" w:eastAsia="en-US" w:bidi="en-US"/>
        </w:rPr>
        <w:t xml:space="preserve"> de 2022 ex</w:t>
      </w:r>
      <w:r>
        <w:rPr>
          <w:rFonts w:ascii="Liberation Serif" w:hAnsi="Liberation Serif" w:eastAsia="Segoe UI"/>
          <w:i/>
          <w:iCs/>
          <w:color w:val="000000"/>
          <w:lang w:val="en-US" w:eastAsia="en-US" w:bidi="en-US"/>
        </w:rPr>
        <w:t>ige que a inserção no TR Digital da especificação da garantia exigida e das condições de manutenção e assistência técnica, quando for o caso.</w:t>
      </w:r>
    </w:p>
  </w:comment>
  <w:comment w:id="15" w:author="Autor" w:date="0-00-00T00:00:00Z" w:initials="A">
    <w:p>
      <w:r>
        <w:rPr>
          <w:rFonts w:ascii="Liberation Serif" w:hAnsi="Liberation Serif" w:eastAsia="Segoe UI"/>
          <w:b/>
          <w:bCs/>
          <w:i/>
          <w:iCs/>
          <w:lang w:val="en-US" w:eastAsia="en-US" w:bidi="en-US"/>
        </w:rPr>
        <w:t xml:space="preserve">Nota Explicativa 1:  </w:t>
      </w:r>
      <w:r>
        <w:rPr>
          <w:rFonts w:ascii="Liberation Serif" w:hAnsi="Liberation Serif" w:eastAsia="Segoe UI"/>
          <w:i/>
          <w:iCs/>
          <w:lang w:val="en-US" w:eastAsia="en-US" w:bidi="en-US"/>
        </w:rPr>
        <w:t>Sugere-se esta redação para material permanente.</w:t>
      </w:r>
    </w:p>
    <w:p>
      <w:r>
        <w:rPr>
          <w:rFonts w:ascii="Liberation Serif" w:hAnsi="Liberation Serif" w:eastAsia="Segoe UI"/>
          <w:lang w:val="en-US" w:eastAsia="en-US" w:bidi="en-US"/>
        </w:rPr>
      </w:r>
    </w:p>
    <w:p>
      <w:r>
        <w:rPr>
          <w:rFonts w:ascii="Liberation Serif" w:hAnsi="Liberation Serif" w:eastAsia="Segoe UI"/>
          <w:b/>
          <w:bCs/>
          <w:i/>
          <w:iCs/>
          <w:color w:val="000000"/>
          <w:lang w:val="en-US" w:eastAsia="en-US" w:bidi="en-US"/>
        </w:rPr>
        <w:t xml:space="preserve">Nota Explicativa 2: </w:t>
      </w:r>
      <w:r>
        <w:rPr>
          <w:rFonts w:ascii="Liberation Serif" w:hAnsi="Liberation Serif" w:eastAsia="Segoe UI"/>
          <w:i/>
          <w:iCs/>
          <w:color w:val="000000"/>
          <w:lang w:val="en-US" w:eastAsia="en-US" w:bidi="en-US"/>
        </w:rPr>
        <w:t>A exigência de garantia, bem como o prazo previsto devem ser justificados nos autos.</w:t>
      </w:r>
    </w:p>
  </w:comment>
  <w:comment w:id="16"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Desde que fundamentado em estudo técnico preliminar, a Administração poderá exigir que os serviços de manutenção e assistência técnica sejam prestados mediante deslocamento de técnico ou disponibilizados em unidade de prestação de serviços localizada em distância compatível com suas necessidades. (</w:t>
      </w:r>
      <w:hyperlink r:id="rId16">
        <w:r>
          <w:rPr>
            <w:rFonts w:ascii="Liberation Serif" w:hAnsi="Liberation Serif" w:eastAsia="Segoe UI"/>
            <w:i/>
            <w:iCs/>
            <w:color w:val="000000"/>
            <w:lang w:val="en-US" w:eastAsia="en-US" w:bidi="en-US"/>
          </w:rPr>
          <w:t>Art. 40, §4º, Lei nº 14.133, de 2021</w:t>
        </w:r>
      </w:hyperlink>
      <w:r>
        <w:rPr>
          <w:rFonts w:ascii="Liberation Serif" w:hAnsi="Liberation Serif" w:eastAsia="Segoe UI"/>
          <w:i/>
          <w:iCs/>
          <w:color w:val="000000"/>
          <w:lang w:val="en-US" w:eastAsia="en-US" w:bidi="en-US"/>
        </w:rPr>
        <w:t xml:space="preserve">, e </w:t>
      </w:r>
      <w:hyperlink r:id="rId17">
        <w:r>
          <w:rPr>
            <w:rFonts w:ascii="Liberation Serif" w:hAnsi="Liberation Serif" w:eastAsia="Segoe UI"/>
            <w:i/>
            <w:iCs/>
            <w:color w:val="000000"/>
            <w:lang w:val="en-US" w:eastAsia="en-US" w:bidi="en-US"/>
          </w:rPr>
          <w:t>art. 10, inciso II, da Instrução Normativa SEGES/ME nº 58, de 2022</w:t>
        </w:r>
      </w:hyperlink>
      <w:r>
        <w:rPr>
          <w:rFonts w:ascii="Liberation Serif" w:hAnsi="Liberation Serif" w:eastAsia="Segoe UI"/>
          <w:i/>
          <w:iCs/>
          <w:color w:val="000000"/>
          <w:lang w:val="en-US" w:eastAsia="en-US" w:bidi="en-US"/>
        </w:rPr>
        <w:t>).</w:t>
      </w:r>
    </w:p>
  </w:comment>
  <w:comment w:id="17"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Os gestores e fiscais do contrato serão designados pela autoridade máxima do órgão ou da entidade, ou a quem as normas de organização administrativa indicarem, na forma do </w:t>
      </w:r>
      <w:r>
        <w:fldChar w:fldCharType="begin"/>
      </w:r>
      <w:r>
        <w:instrText> HYPERLINK "http://www.planalto.gov.br/ccivil_03/_ato2019-2022/2021/lei/L14133.htm" \l "art7"</w:instrText>
      </w:r>
      <w:r>
        <w:fldChar w:fldCharType="separate"/>
      </w:r>
      <w:r>
        <w:rPr>
          <w:rFonts w:ascii="Liberation Serif" w:hAnsi="Liberation Serif" w:eastAsia="Segoe UI"/>
          <w:i/>
          <w:iCs/>
          <w:color w:val="000000"/>
          <w:lang w:val="en-US" w:eastAsia="en-US" w:bidi="en-US"/>
        </w:rPr>
        <w:t>art. 7º da Lei nº 14.133, de 2021</w:t>
      </w:r>
      <w:r>
        <w:fldChar w:fldCharType="end"/>
      </w:r>
      <w:r>
        <w:rPr>
          <w:rFonts w:ascii="Liberation Serif" w:hAnsi="Liberation Serif" w:eastAsia="Segoe UI"/>
          <w:i/>
          <w:iCs/>
          <w:color w:val="000000"/>
          <w:lang w:val="en-US" w:eastAsia="en-US" w:bidi="en-US"/>
        </w:rPr>
        <w:t xml:space="preserve">, e </w:t>
      </w:r>
      <w:hyperlink r:id="rId18">
        <w:r>
          <w:rPr>
            <w:rFonts w:ascii="Liberation Serif" w:hAnsi="Liberation Serif" w:eastAsia="Segoe UI"/>
            <w:i/>
            <w:iCs/>
            <w:color w:val="000000"/>
            <w:lang w:val="en-US" w:eastAsia="en-US" w:bidi="en-US"/>
          </w:rPr>
          <w:t>art. 8º do Decreto nº 11.246, de 2022</w:t>
        </w:r>
      </w:hyperlink>
      <w:r>
        <w:rPr>
          <w:rFonts w:ascii="Liberation Serif" w:hAnsi="Liberation Serif" w:eastAsia="Segoe UI"/>
          <w:i/>
          <w:iCs/>
          <w:color w:val="000000"/>
          <w:lang w:val="en-US" w:eastAsia="en-US" w:bidi="en-US"/>
        </w:rPr>
        <w:t>, devendo a Administração instruir os autos com as publicações dos atos de designação dos agentes públicos para o exercício dessas funções.</w:t>
      </w:r>
    </w:p>
  </w:comment>
  <w:comment w:id="18" w:author="Autor" w:date="0-00-00T00:00:00Z" w:initials="A">
    <w:p>
      <w:r>
        <w:rPr>
          <w:rFonts w:ascii="Liberation Serif" w:hAnsi="Liberation Serif" w:eastAsia="Segoe UI"/>
          <w:b/>
          <w:bCs/>
          <w:i/>
          <w:iCs/>
          <w:lang w:val="en-US" w:eastAsia="en-US" w:bidi="en-US"/>
        </w:rPr>
        <w:t>Nota Explicativa :</w:t>
      </w:r>
      <w:r>
        <w:rPr>
          <w:rFonts w:ascii="Liberation Serif" w:hAnsi="Liberation Serif" w:eastAsia="Segoe UI"/>
          <w:i/>
          <w:iCs/>
          <w:lang w:val="en-US" w:eastAsia="en-US" w:bidi="en-US"/>
        </w:rPr>
        <w:t xml:space="preserve"> A </w:t>
      </w:r>
      <w:hyperlink r:id="rId19">
        <w:r>
          <w:rPr>
            <w:rFonts w:ascii="Liberation Serif" w:hAnsi="Liberation Serif" w:eastAsia="Segoe UI"/>
            <w:i/>
            <w:iCs/>
            <w:lang w:val="en-US" w:eastAsia="en-US" w:bidi="en-US"/>
          </w:rPr>
          <w:t>Lei nº 14.133, de 2021 (art. 162, parágrafo único)</w:t>
        </w:r>
      </w:hyperlink>
      <w:r>
        <w:rPr>
          <w:rFonts w:ascii="Liberation Serif" w:hAnsi="Liberation Serif" w:eastAsia="Segoe UI"/>
          <w:i/>
          <w:iCs/>
          <w:lang w:val="en-US" w:eastAsia="en-US" w:bidi="en-US"/>
        </w:rPr>
        <w:t xml:space="preserve">,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w:t>
      </w:r>
      <w:r>
        <w:rPr>
          <w:rFonts w:ascii="Liberation Serif" w:hAnsi="Liberation Serif" w:eastAsia="Segoe UI"/>
          <w:b/>
          <w:bCs/>
          <w:i/>
          <w:iCs/>
          <w:lang w:val="en-US" w:eastAsia="en-US" w:bidi="en-US"/>
        </w:rPr>
        <w:t>qual o prazo limite para a mora do contratado,</w:t>
      </w:r>
      <w:r>
        <w:rPr>
          <w:rFonts w:ascii="Liberation Serif" w:hAnsi="Liberation Serif" w:eastAsia="Segoe UI"/>
          <w:i/>
          <w:iCs/>
          <w:lang w:val="en-US" w:eastAsia="en-US" w:bidi="en-US"/>
        </w:rPr>
        <w:t xml:space="preserve"> a partir do qual a execução da prestação deixa de ser útil e enseja a substituição da multa moratória pela multa compensatória, além da extinção do contrato. Lembre-se que esse modelo é apenas uma sugestão; é possível escalonar as multas conforme os dias de atraso, por exemplo.</w:t>
      </w:r>
    </w:p>
  </w:comment>
  <w:comment w:id="19" w:author="Autor" w:date="0-00-00T00:00:00Z" w:initials="A">
    <w:p>
      <w:r>
        <w:rPr>
          <w:rFonts w:ascii="Liberation Serif" w:hAnsi="Liberation Serif" w:eastAsia="Segoe UI"/>
          <w:b/>
          <w:bCs/>
          <w:i/>
          <w:iCs/>
          <w:lang w:val="en-US" w:eastAsia="en-US" w:bidi="en-US"/>
        </w:rPr>
        <w:t xml:space="preserve">Nota Explicativa 1: </w:t>
      </w:r>
      <w:r>
        <w:rPr>
          <w:rFonts w:ascii="Liberation Serif" w:hAnsi="Liberation Serif" w:eastAsia="Segoe UI"/>
          <w:i/>
          <w:iCs/>
          <w:lang w:val="en-US" w:eastAsia="en-US" w:bidi="en-US"/>
        </w:rPr>
        <w:t>Os prazos e percentuais para a aplicação da multa moratória em caso de atraso na apresentação da garantia são aqueles indicados nas alíneas "e" e "f" do item 3.1 do Anexo VII-F da Instrução Normativa SEGES/MP n.º 05/2017, cuja aplicação aos processos regidos pela Lei n.º 14.133, de 2021, foi autorizada pela Instrução Normativa SEGES/ME nº 98, de 26 de dezembro de 2022.</w:t>
      </w:r>
    </w:p>
    <w:p>
      <w:r>
        <w:rPr>
          <w:rFonts w:ascii="Liberation Serif" w:hAnsi="Liberation Serif" w:eastAsia="Segoe UI"/>
          <w:lang w:val="en-US" w:eastAsia="en-US" w:bidi="en-US"/>
        </w:rPr>
      </w:r>
    </w:p>
    <w:p>
      <w:r>
        <w:rPr>
          <w:rFonts w:ascii="Liberation Serif" w:hAnsi="Liberation Serif" w:eastAsia="Segoe UI"/>
          <w:b/>
          <w:bCs/>
          <w:i/>
          <w:iCs/>
          <w:lang w:val="en-US" w:eastAsia="en-US" w:bidi="en-US"/>
        </w:rPr>
        <w:t xml:space="preserve">Nota Explicativa 2: </w:t>
      </w:r>
      <w:r>
        <w:rPr>
          <w:rFonts w:ascii="Liberation Serif" w:hAnsi="Liberation Serif" w:eastAsia="Segoe UI"/>
          <w:i/>
          <w:iCs/>
          <w:lang w:val="en-US" w:eastAsia="en-US" w:bidi="en-US"/>
        </w:rPr>
        <w:t>Recomenda-se suprimir a sanção relativa à apresentação, reposição ou suplementação da garantia caso esta não seja exigida para a contratação.</w:t>
      </w:r>
    </w:p>
  </w:comment>
  <w:comment w:id="20"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O modelo contém redação mais simples de recebimento. Caso se entenda que há necessidade de maior detalhamento, o órgão poderá promover aprimoramento da redação nesse ponto, inclusive com disciplina do recebimento provisório pelo fiscal técnico e administrativo, se for o caso.</w:t>
      </w:r>
    </w:p>
  </w:comment>
  <w:comment w:id="21"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art. 7º, inciso I, </w:t>
      </w:r>
      <w:hyperlink r:id="rId20">
        <w:r>
          <w:rPr>
            <w:rFonts w:ascii="Liberation Serif" w:hAnsi="Liberation Serif" w:eastAsia="Segoe UI"/>
            <w:i/>
            <w:iCs/>
            <w:color w:val="000000"/>
            <w:lang w:val="en-US" w:eastAsia="en-US" w:bidi="en-US"/>
          </w:rPr>
          <w:t>da Instrução Normativa SEGES/ME nº 77, de 4 de novembro de 2022</w:t>
        </w:r>
      </w:hyperlink>
      <w:r>
        <w:rPr>
          <w:rFonts w:ascii="Liberation Serif" w:hAnsi="Liberation Serif" w:eastAsia="Segoe UI"/>
          <w:i/>
          <w:iCs/>
          <w:color w:val="000000"/>
          <w:lang w:val="en-US" w:eastAsia="en-US" w:bidi="en-US"/>
        </w:rPr>
        <w:t xml:space="preserve">, estabelece o prazo de 10 (dez dias) úteis para a liquidação da despesa, </w:t>
      </w:r>
      <w:r>
        <w:rPr>
          <w:rFonts w:ascii="Liberation Serif" w:hAnsi="Liberation Serif" w:eastAsia="Segoe UI"/>
          <w:b/>
          <w:bCs/>
          <w:i/>
          <w:iCs/>
          <w:color w:val="000000"/>
          <w:lang w:val="en-US" w:eastAsia="en-US" w:bidi="en-US"/>
        </w:rPr>
        <w:t xml:space="preserve">a contar do recebimento da nota fiscal ou instrumento de cobrança equivalente </w:t>
      </w:r>
      <w:r>
        <w:rPr>
          <w:rFonts w:ascii="Liberation Serif" w:hAnsi="Liberation Serif" w:eastAsia="Segoe UI"/>
          <w:i/>
          <w:iCs/>
          <w:color w:val="000000"/>
          <w:lang w:val="en-US" w:eastAsia="en-US" w:bidi="en-US"/>
        </w:rPr>
        <w:t xml:space="preserve">pela Administração. Tendo em vista que os bens serão entregues para a Administração juntamente com a respectiva nota fiscal ou instrumento equivalente de cobrança (fatura, invoice etc.), deve-se concluir que, no caso das compras, durante o curso do prazo de liquidação, a Administração deverá realizar também os recebimentos provisório e definitivo do bem. Em outras palavras, </w:t>
      </w:r>
      <w:r>
        <w:rPr>
          <w:rFonts w:ascii="Liberation Serif" w:hAnsi="Liberation Serif" w:eastAsia="Segoe UI"/>
          <w:b/>
          <w:bCs/>
          <w:i/>
          <w:iCs/>
          <w:color w:val="000000"/>
          <w:lang w:val="en-US" w:eastAsia="en-US" w:bidi="en-US"/>
        </w:rPr>
        <w:t>o prazo máximo de 10 dias úteis deverá ser suficiente para as providências de recebimentos provisório, definitivo e de liquidação</w:t>
      </w:r>
      <w:r>
        <w:rPr>
          <w:rFonts w:ascii="Liberation Serif" w:hAnsi="Liberation Serif" w:eastAsia="Segoe UI"/>
          <w:i/>
          <w:iCs/>
          <w:color w:val="000000"/>
          <w:lang w:val="en-US" w:eastAsia="en-US" w:bidi="en-US"/>
        </w:rPr>
        <w:t xml:space="preserve">. Assim, embora a </w:t>
      </w:r>
      <w:hyperlink r:id="rId21">
        <w:r>
          <w:rPr>
            <w:rFonts w:ascii="Liberation Serif" w:hAnsi="Liberation Serif" w:eastAsia="Segoe UI"/>
            <w:i/>
            <w:iCs/>
            <w:color w:val="000000"/>
            <w:lang w:val="en-US" w:eastAsia="en-US" w:bidi="en-US"/>
          </w:rPr>
          <w:t>Lei nº 14.133/21</w:t>
        </w:r>
      </w:hyperlink>
      <w:r>
        <w:rPr>
          <w:rFonts w:ascii="Liberation Serif" w:hAnsi="Liberation Serif" w:eastAsia="Segoe UI"/>
          <w:i/>
          <w:iCs/>
          <w:color w:val="000000"/>
          <w:lang w:val="en-US" w:eastAsia="en-US" w:bidi="en-US"/>
        </w:rPr>
        <w:t xml:space="preserve"> não fixe prazo máximo de recebimento definitivo, este prazo deverá ser inferior ao fixado para liquidação de despesa pela </w:t>
      </w:r>
      <w:hyperlink r:id="rId22">
        <w:r>
          <w:rPr>
            <w:rFonts w:ascii="Liberation Serif" w:hAnsi="Liberation Serif" w:eastAsia="Segoe UI"/>
            <w:i/>
            <w:iCs/>
            <w:color w:val="000000"/>
            <w:lang w:val="en-US" w:eastAsia="en-US" w:bidi="en-US"/>
          </w:rPr>
          <w:t>IN SEGES/ME nº 77, de 2022</w:t>
        </w:r>
      </w:hyperlink>
      <w:r>
        <w:rPr>
          <w:rFonts w:ascii="Liberation Serif" w:hAnsi="Liberation Serif" w:eastAsia="Segoe UI"/>
          <w:i/>
          <w:iCs/>
          <w:color w:val="000000"/>
          <w:lang w:val="en-US" w:eastAsia="en-US" w:bidi="en-US"/>
        </w:rPr>
        <w:t>. Portanto, a Administração deve definir o prazo de recebimento considerando o máximo de 10 dias úteis, a sua realidade administrativa, a complexidade do objeto e o tempo que será consumido para os procedimentos contábeis de liquidação. Em sendo detectado, na fase de planejamento da contratação (notadamente no gerenciamento dos riscos), que haverá dificuldades para cumprimento do prazo estabelecido, deverão ser previstas medidas para superar tais contingências.</w:t>
      </w:r>
    </w:p>
  </w:comment>
  <w:comment w:id="22"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Observar que o artigo 7º, §2º, </w:t>
      </w:r>
      <w:hyperlink r:id="rId23">
        <w:r>
          <w:rPr>
            <w:rFonts w:ascii="Liberation Serif" w:hAnsi="Liberation Serif" w:eastAsia="Segoe UI"/>
            <w:i/>
            <w:iCs/>
            <w:color w:val="000000"/>
            <w:lang w:val="en-US" w:eastAsia="en-US" w:bidi="en-US"/>
          </w:rPr>
          <w:t>da Instrução Normativa nº 77, de 2022</w:t>
        </w:r>
      </w:hyperlink>
      <w:r>
        <w:rPr>
          <w:rFonts w:ascii="Liberation Serif" w:hAnsi="Liberation Serif" w:eastAsia="Segoe UI"/>
          <w:i/>
          <w:iCs/>
          <w:color w:val="000000"/>
          <w:lang w:val="en-US" w:eastAsia="en-US" w:bidi="en-US"/>
        </w:rPr>
        <w:t xml:space="preserve">, prevê que “Para as contratações decorrentes de despesas cujos valores não ultrapassem o limite de que trata o inciso II do </w:t>
      </w:r>
      <w:hyperlink r:id="rId24">
        <w:r>
          <w:rPr>
            <w:rFonts w:ascii="Liberation Serif" w:hAnsi="Liberation Serif" w:eastAsia="Segoe UI"/>
            <w:i/>
            <w:iCs/>
            <w:color w:val="000000"/>
            <w:lang w:val="en-US" w:eastAsia="en-US" w:bidi="en-US"/>
          </w:rPr>
          <w:t>art. 75 da Lei nº 14.133, de 2021</w:t>
        </w:r>
      </w:hyperlink>
      <w:r>
        <w:rPr>
          <w:rFonts w:ascii="Liberation Serif" w:hAnsi="Liberation Serif" w:eastAsia="Segoe UI"/>
          <w:i/>
          <w:iCs/>
          <w:color w:val="000000"/>
          <w:lang w:val="en-US" w:eastAsia="en-US" w:bidi="en-US"/>
        </w:rPr>
        <w:t xml:space="preserve">, os prazos de que dos incisos I e II do caput </w:t>
      </w:r>
      <w:r>
        <w:rPr>
          <w:rFonts w:ascii="Liberation Serif" w:hAnsi="Liberation Serif" w:eastAsia="Segoe UI"/>
          <w:b/>
          <w:bCs/>
          <w:i/>
          <w:iCs/>
          <w:color w:val="000000"/>
          <w:lang w:val="en-US" w:eastAsia="en-US" w:bidi="en-US"/>
        </w:rPr>
        <w:t>serão reduzidos pela metade</w:t>
      </w:r>
      <w:r>
        <w:rPr>
          <w:rFonts w:ascii="Liberation Serif" w:hAnsi="Liberation Serif" w:eastAsia="Segoe UI"/>
          <w:i/>
          <w:iCs/>
          <w:color w:val="000000"/>
          <w:lang w:val="en-US" w:eastAsia="en-US" w:bidi="en-US"/>
        </w:rPr>
        <w:t>.” (g.n). Como o prazo máximo de liquidação será reduzido pela metade, então o prazo de recebimento também deverá ser ajustado.</w:t>
      </w:r>
    </w:p>
  </w:comment>
  <w:comment w:id="23"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Deverá a Administração indicar o índice de preços a ser utilizado para a atualização monetária do valor devido ao contratado.</w:t>
      </w:r>
    </w:p>
  </w:comment>
  <w:comment w:id="24"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A natureza do contrato e o objeto da contratação irão determinar a retenção tributária eventualmente cabível, bem como a possibilidade de a empresa se beneficiar da condição de optante do Simples Nacional, dentre outras questões de caráter tributário.</w:t>
      </w:r>
    </w:p>
  </w:comment>
  <w:comment w:id="25" w:author="Autor" w:date="0-00-00T00:00:00Z" w:initials="A">
    <w:p>
      <w:r>
        <w:rPr>
          <w:rFonts w:ascii="Liberation Serif" w:hAnsi="Liberation Serif" w:eastAsia="Segoe UI"/>
          <w:b/>
          <w:bCs/>
          <w:i/>
          <w:iCs/>
          <w:lang w:val="en-US" w:eastAsia="en-US" w:bidi="en-US"/>
        </w:rPr>
        <w:t xml:space="preserve">Nota Explicativa: </w:t>
      </w:r>
      <w:r>
        <w:rPr>
          <w:rFonts w:ascii="Liberation Serif" w:hAnsi="Liberation Serif" w:eastAsia="Segoe UI"/>
          <w:i/>
          <w:iCs/>
          <w:lang w:val="en-US" w:eastAsia="en-US" w:bidi="en-US"/>
        </w:rPr>
        <w:t>A previsão da admissibilidade da cessão de credito em editais e contratos administrativos, embora não obrigatória, continua admitida por força do Parecer JL-01, do Advogado-Geral da União (disponível em http://www.planalto.gov.br/ccivil_03/AGU/Pareceres/2019-2022/PRC-JL-01-2020.htm), aprovado pelo Sr. Presidente da República em 26/05/2020, e, portanto, vinculante para toda a administração pública (arts. 40, §1º e 41 da Lei Complementar nº 73, de 1993).</w:t>
      </w:r>
    </w:p>
    <w:p>
      <w:r>
        <w:rPr>
          <w:rFonts w:ascii="Liberation Serif" w:hAnsi="Liberation Serif" w:eastAsia="Segoe UI"/>
          <w:i/>
          <w:iCs/>
          <w:lang w:val="en-US" w:eastAsia="en-US" w:bidi="en-US"/>
        </w:rPr>
        <w:t>Quanto a estas últimas, importa destacar a seguinte condicionante que foi erigida pelo referido Parecer nº JL – 01/2020 como requisito para a sua admissibilidade em contratos administrativos: inexistência de vedação no instrumento convocatório. Assim, relativamente às cessões de crédito em geral, ter-se-á por admitida desde que não haja vedação em cláusula contratual ou no instrumento convocatório.</w:t>
      </w:r>
    </w:p>
    <w:p>
      <w:r>
        <w:rPr>
          <w:rFonts w:ascii="Liberation Serif" w:hAnsi="Liberation Serif" w:eastAsia="Segoe UI"/>
          <w:lang w:val="en-US" w:eastAsia="en-US" w:bidi="en-US"/>
        </w:rPr>
      </w:r>
    </w:p>
    <w:p>
      <w:r>
        <w:rPr>
          <w:rFonts w:ascii="Liberation Serif" w:hAnsi="Liberation Serif" w:eastAsia="Segoe UI"/>
          <w:i/>
          <w:iCs/>
          <w:lang w:val="en-US" w:eastAsia="en-US" w:bidi="en-US"/>
        </w:rPr>
        <w:t>Por essa razão, tendo ou não a clausula, a cessão é admitida. Recomenda-se manter a disposição em razão das regras previstas no Parecer JL-01/2020, salvo se a cláusula for modificada para que conste uma vedação à cessão de crédito.</w:t>
      </w:r>
    </w:p>
  </w:comment>
  <w:comment w:id="26" w:author="Autor" w:date="0-00-00T00:00:00Z" w:initials="A">
    <w:p>
      <w:r>
        <w:rPr>
          <w:rFonts w:ascii="Liberation Serif" w:hAnsi="Liberation Serif" w:eastAsia="Segoe UI"/>
          <w:b/>
          <w:bCs/>
          <w:lang w:val="en-US" w:eastAsia="en-US" w:bidi="en-US"/>
        </w:rPr>
        <w:t xml:space="preserve">Nota Explicativa: </w:t>
      </w:r>
      <w:r>
        <w:rPr>
          <w:rFonts w:ascii="Liberation Serif" w:hAnsi="Liberation Serif" w:eastAsia="Segoe UI"/>
          <w:lang w:val="en-US" w:eastAsia="en-US" w:bidi="en-US"/>
        </w:rPr>
        <w:t>No caso desse subitem, o órgão contratante pode optar por mudar a redação para já vedar de plano as cessões de crédito</w:t>
      </w:r>
    </w:p>
  </w:comment>
  <w:comment w:id="27"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Os condicionamentos desses subitens decorrem das conclusões do Parecer JL-01, de 18 de maio de 2020.</w:t>
      </w:r>
    </w:p>
  </w:comment>
  <w:comment w:id="28" w:author="Autor" w:date="0-00-00T00:00:00Z" w:initials="A">
    <w:p>
      <w:r>
        <w:rPr>
          <w:rFonts w:ascii="Liberation Serif" w:hAnsi="Liberation Serif" w:eastAsia="Segoe UI"/>
          <w:lang w:val="en-US" w:eastAsia="en-US" w:bidi="en-US"/>
        </w:rPr>
        <w:t>A Instrução Normativa SEGES/MGI nº 82/2025 enquadrou o AntecipaGov como uma operação de crédito comum. Não mais como uma cessão de crédito.</w:t>
      </w:r>
    </w:p>
    <w:p>
      <w:r>
        <w:rPr>
          <w:rFonts w:ascii="Liberation Serif" w:hAnsi="Liberation Serif" w:eastAsia="Segoe UI"/>
          <w:lang w:val="en-US" w:eastAsia="en-US" w:bidi="en-US"/>
        </w:rPr>
      </w:r>
    </w:p>
    <w:p>
      <w:r>
        <w:rPr>
          <w:rFonts w:ascii="Liberation Serif" w:hAnsi="Liberation Serif" w:eastAsia="Segoe UI"/>
          <w:lang w:val="en-US" w:eastAsia="en-US" w:bidi="en-US"/>
        </w:rPr>
        <w:t xml:space="preserve">Uma mudança de entendimento correta, já que, pelo funcionamento do sistema, o pagamento à contratada é perfectibilizado, já que feito em conta de sua titularidade, sem qualquer cessão de crédito. </w:t>
      </w:r>
    </w:p>
    <w:p>
      <w:r>
        <w:rPr>
          <w:rFonts w:ascii="Liberation Serif" w:hAnsi="Liberation Serif" w:eastAsia="Segoe UI"/>
          <w:lang w:val="en-US" w:eastAsia="en-US" w:bidi="en-US"/>
        </w:rPr>
      </w:r>
    </w:p>
    <w:p>
      <w:r>
        <w:rPr>
          <w:rFonts w:ascii="Liberation Serif" w:hAnsi="Liberation Serif" w:eastAsia="Segoe UI"/>
          <w:lang w:val="en-US" w:eastAsia="en-US" w:bidi="en-US"/>
        </w:rPr>
        <w:t>Mesmo se houver a necessidade de "resgate" pela instituição financeira dos valores depositados nessa conta, como esta é do contratado, não é uma cessao de crédito, de haveres futuros, mas sim uma simples transferência pelo contratado à instituição financeira. O Antecipagov possibilita que se coloque como garantia, em operações de credito, o valor recebido a título de pagamentos contratuais, mas não haveres futuros, já que o pagamento ainda é feito à contratada e não à instituição financeira.</w:t>
      </w:r>
    </w:p>
    <w:p>
      <w:r>
        <w:rPr>
          <w:rFonts w:ascii="Liberation Serif" w:hAnsi="Liberation Serif" w:eastAsia="Segoe UI"/>
          <w:lang w:val="en-US" w:eastAsia="en-US" w:bidi="en-US"/>
        </w:rPr>
      </w:r>
    </w:p>
    <w:p>
      <w:r>
        <w:rPr>
          <w:rFonts w:ascii="Liberation Serif" w:hAnsi="Liberation Serif" w:eastAsia="Segoe UI"/>
          <w:lang w:val="en-US" w:eastAsia="en-US" w:bidi="en-US"/>
        </w:rPr>
        <w:t>Não sendo, portanto, uma cessão de crédito, nem mesmo fiduciária, a operação não é regulada pelo Parecer JL-01, de 2020 ou por esta seção. Nesse sentido, a própria Instrução Normativa dispõe que "A ausência de previsão expressa no contrato ou no termo de referência não impede a realização</w:t>
      </w:r>
    </w:p>
    <w:p>
      <w:r>
        <w:rPr>
          <w:rFonts w:ascii="Liberation Serif" w:hAnsi="Liberation Serif" w:eastAsia="Segoe UI"/>
          <w:lang w:val="en-US" w:eastAsia="en-US" w:bidi="en-US"/>
        </w:rPr>
        <w:t xml:space="preserve"> de operação de crédito no Portal AntecipaGov".</w:t>
      </w:r>
    </w:p>
  </w:comment>
  <w:comment w:id="30"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O PARECER n. 00003/2023/DECOR/CGU/AGU, aprovado pelo Advogado-Geral da União, ratificou o entendimento da Consultoria-Geral da União de que o reajuste em sentido estrito dos preços contratados, por meio da aplicação de índice que reflita efetivamente as variações dos custos do mercado, não representa uma modificação contratual e</w:t>
      </w:r>
      <w:r>
        <w:rPr>
          <w:rFonts w:ascii="Liberation Serif" w:hAnsi="Liberation Serif" w:eastAsia="Segoe UI"/>
          <w:b/>
          <w:bCs/>
          <w:i/>
          <w:iCs/>
          <w:lang w:val="en-US" w:eastAsia="en-US" w:bidi="en-US"/>
        </w:rPr>
        <w:t xml:space="preserve"> sua concessão ex officio pela Administração deve ser a regra,</w:t>
      </w:r>
      <w:r>
        <w:rPr>
          <w:rFonts w:ascii="Liberation Serif" w:hAnsi="Liberation Serif" w:eastAsia="Segoe UI"/>
          <w:i/>
          <w:iCs/>
          <w:lang w:val="en-US" w:eastAsia="en-US" w:bidi="en-US"/>
        </w:rPr>
        <w:t xml:space="preserve"> independentemente da natureza do objeto, incluindo serviços continuados e contratos de escopo. Todavia, restou assentado, excepcionalmente, que, "Por caracterizar-se o reajuste em sentido estrito como direito de ordem patrimonial e disponível, não há óbice jurídico para que, em tese, seja consumada a renúncia tácita ou a preclusão lógica do seu exercício nos contratos continuados e nos contratos de escopo, </w:t>
      </w:r>
      <w:r>
        <w:rPr>
          <w:rFonts w:ascii="Liberation Serif" w:hAnsi="Liberation Serif" w:eastAsia="Segoe UI"/>
          <w:b/>
          <w:bCs/>
          <w:i/>
          <w:iCs/>
          <w:lang w:val="en-US" w:eastAsia="en-US" w:bidi="en-US"/>
        </w:rPr>
        <w:t>desde que cumulativamente:</w:t>
      </w:r>
      <w:r>
        <w:rPr>
          <w:rFonts w:ascii="Liberation Serif" w:hAnsi="Liberation Serif" w:eastAsia="Segoe UI"/>
          <w:i/>
          <w:iCs/>
          <w:lang w:val="en-US" w:eastAsia="en-US" w:bidi="en-US"/>
        </w:rPr>
        <w:t xml:space="preserve"> (a) o edital ou contrato preveja expressamente que a concessão do reajuste resta condicionada à solicitação do contratado; (b) que não haja solicitação do reajuste antes da celebração de aditamento de vigência; (c) seja celebrado aditamento para a prorrogação do prazo de vigência do contrato sem qualquer ressalva quanto à ulterior análise pela Administração do reajuste e (d) o edital expressamente preveja que a formalização do aditamento sem a concessão do reajuste, ou ressalva de sua superveniente análise, será considerada como renúncia ou preclusão lógica do direito". Observe-se que, para condicionar o reajuste à solicitação do contratado, a Administração deverá apresentar </w:t>
      </w:r>
      <w:r>
        <w:rPr>
          <w:rFonts w:ascii="Liberation Serif" w:hAnsi="Liberation Serif" w:eastAsia="Segoe UI"/>
          <w:b/>
          <w:bCs/>
          <w:i/>
          <w:iCs/>
          <w:lang w:val="en-US" w:eastAsia="en-US" w:bidi="en-US"/>
        </w:rPr>
        <w:t>motivação idônea</w:t>
      </w:r>
      <w:r>
        <w:rPr>
          <w:rFonts w:ascii="Liberation Serif" w:hAnsi="Liberation Serif" w:eastAsia="Segoe UI"/>
          <w:i/>
          <w:iCs/>
          <w:lang w:val="en-US" w:eastAsia="en-US" w:bidi="en-US"/>
        </w:rPr>
        <w:t xml:space="preserve"> nos autos do processo administrativo, promovendo as respectivas adequações na cláusula sétima da minuta de termo de contrato. </w:t>
      </w:r>
    </w:p>
  </w:comment>
  <w:comment w:id="29" w:author="Autor" w:date="0-00-00T00:00:00Z" w:initials="A">
    <w:p>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r>
        <w:rPr>
          <w:rFonts w:ascii="Liberation Serif" w:hAnsi="Liberation Serif" w:eastAsia="Segoe UI"/>
          <w:lang w:val="en-US" w:eastAsia="en-US" w:bidi="en-US"/>
        </w:rPr>
      </w:r>
    </w:p>
    <w:p>
      <w:r>
        <w:rPr>
          <w:rFonts w:ascii="Liberation Serif" w:hAnsi="Liberation Serif" w:eastAsia="Segoe UI"/>
          <w:b/>
          <w:bCs/>
          <w:i/>
          <w:iCs/>
          <w:color w:val="000000"/>
          <w:lang w:val="en-US" w:eastAsia="en-US" w:bidi="en-US"/>
        </w:rPr>
        <w:t xml:space="preserve">Nota Explicativa 2: </w:t>
      </w:r>
      <w:r>
        <w:rPr>
          <w:rFonts w:ascii="Liberation Serif" w:hAnsi="Liberation Serif" w:eastAsia="Segoe UI"/>
          <w:i/>
          <w:iCs/>
          <w:color w:val="000000"/>
          <w:lang w:val="en-US" w:eastAsia="en-US" w:bidi="en-US"/>
        </w:rPr>
        <w:t xml:space="preserve">A Administração poderá, ainda, utilizar índices diferenciados, inclusive mais de um, de forma justificada, de acordo com as peculiaridades envolvidas no objeto contratual (art. 25, § 7º, da Lei n.º 14.133, de 2021). Caso haja a utilização de mais de um índice, deverá a Administração ajustar a redação da cláusula de modo a especificar o insumo respectivo sobre o qual incidirá cada índice de correção. </w:t>
      </w:r>
    </w:p>
  </w:comment>
  <w:comment w:id="31" w:author="Autor" w:date="0-00-00T00:00:00Z" w:initials="A">
    <w:p>
      <w:r>
        <w:rPr>
          <w:rFonts w:ascii="Liberation Serif" w:hAnsi="Liberation Serif" w:eastAsia="Segoe UI"/>
          <w:b/>
          <w:bCs/>
          <w:i/>
          <w:iCs/>
          <w:lang w:val="en-US" w:eastAsia="en-US" w:bidi="en-US"/>
        </w:rPr>
        <w:t xml:space="preserve">Nota Explicativa 1: </w:t>
      </w:r>
      <w:r>
        <w:rPr>
          <w:rFonts w:ascii="Liberation Serif" w:hAnsi="Liberation Serif" w:eastAsia="Segoe UI"/>
          <w:i/>
          <w:iCs/>
          <w:lang w:val="en-US" w:eastAsia="en-US" w:bidi="en-US"/>
        </w:rPr>
        <w:t>Para o caso de contratação direta, adequar o título da subseção e registrar a justificativa para a dispensa ou inexigibilidade de licitação.</w:t>
      </w:r>
    </w:p>
    <w:p>
      <w:r>
        <w:rPr>
          <w:rFonts w:ascii="Liberation Serif" w:hAnsi="Liberation Serif" w:eastAsia="Segoe UI"/>
          <w:lang w:val="en-US" w:eastAsia="en-US" w:bidi="en-US"/>
        </w:rPr>
      </w:r>
    </w:p>
    <w:p>
      <w:r>
        <w:rPr>
          <w:rFonts w:ascii="Liberation Serif" w:hAnsi="Liberation Serif" w:eastAsia="Segoe UI"/>
          <w:b/>
          <w:bCs/>
          <w:i/>
          <w:iCs/>
          <w:lang w:val="en-US" w:eastAsia="en-US" w:bidi="en-US"/>
        </w:rPr>
        <w:t>Nota Explicativa 2:</w:t>
      </w:r>
      <w:r>
        <w:rPr>
          <w:rFonts w:ascii="Liberation Serif" w:hAnsi="Liberation Serif" w:eastAsia="Segoe UI"/>
          <w:i/>
          <w:iCs/>
          <w:lang w:val="en-US" w:eastAsia="en-US" w:bidi="en-US"/>
        </w:rPr>
        <w:t xml:space="preserve"> A Lei n.º 14.133, de 2021, ao contrário da Lei n.º 8.666, de 1993, não define as modalidades de licitação em razão do valor do objeto, mas, sim, em razão de sua natureza ou complexidade. Assim, enquanto o pregão é a modalidade de licitação obrigatória para aquisição de bens e serviços comuns (art. 6º, inciso XLI, c/c art. 29), exclusivamente pelos critérios de julgamento de menor preço ou maior desconto, a concorrência é a modalidade cabível para a contratação de bens e serviços especiais e de obras e serviços comuns e especiais de engenharia (art. 6º, inciso XXXVIII, c/c o art. 29), pelos critérios de menor preço, melhor técnica ou conteúdo artístico, técnica e preço, maior retorno econômico e maior desconto. A Administração deverá atentar para o regramento legal e definir a modalidade de licitação e o critério de julgamento a serem adotados, conforme a natureza do objeto e suas especificidades. </w:t>
      </w:r>
    </w:p>
  </w:comment>
  <w:comment w:id="32"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É fundamental que a Administração observe que exigências demasiadas poderão prejudicar a competitividade da licitação e ofender a o disposto no </w:t>
      </w:r>
      <w:hyperlink r:id="rId25">
        <w:r>
          <w:rPr>
            <w:rFonts w:ascii="Liberation Serif" w:hAnsi="Liberation Serif" w:eastAsia="Segoe UI"/>
            <w:i/>
            <w:iCs/>
            <w:color w:val="000000"/>
            <w:lang w:val="en-US" w:eastAsia="en-US" w:bidi="en-US"/>
          </w:rPr>
          <w:t>art. 37, inciso XXI da Constituição Federal</w:t>
        </w:r>
      </w:hyperlink>
      <w:r>
        <w:rPr>
          <w:rFonts w:ascii="Liberation Serif" w:hAnsi="Liberation Serif" w:eastAsia="Segoe UI"/>
          <w:i/>
          <w:iCs/>
          <w:color w:val="000000"/>
          <w:lang w:val="en-US" w:eastAsia="en-US" w:bidi="en-US"/>
        </w:rPr>
        <w:t>, o qual preceitua que “o processo de licitação pública... somente permitirá as exigências de qualificação técnica e econômica indispensáveis à garantia do cumprimento das obrigações”.</w:t>
      </w:r>
    </w:p>
    <w:p>
      <w:r>
        <w:rPr>
          <w:rFonts w:ascii="Liberation Serif" w:hAnsi="Liberation Serif" w:eastAsia="Segoe UI"/>
          <w:i/>
          <w:iCs/>
          <w:color w:val="000000"/>
          <w:lang w:val="en-US" w:eastAsia="en-US" w:bidi="en-US"/>
        </w:rPr>
        <w:t>O</w:t>
      </w:r>
      <w:hyperlink r:id="rId26">
        <w:r>
          <w:rPr>
            <w:rFonts w:ascii="Liberation Serif" w:hAnsi="Liberation Serif" w:eastAsia="Segoe UI"/>
            <w:i/>
            <w:iCs/>
            <w:color w:val="000000"/>
            <w:lang w:val="en-US" w:eastAsia="en-US" w:bidi="en-US"/>
          </w:rPr>
          <w:t xml:space="preserve"> art. 70, III, da Lei Nº 14.133/2021</w:t>
        </w:r>
      </w:hyperlink>
      <w:r>
        <w:rPr>
          <w:rFonts w:ascii="Liberation Serif" w:hAnsi="Liberation Serif" w:eastAsia="Segoe UI"/>
          <w:i/>
          <w:iCs/>
          <w:color w:val="000000"/>
          <w:lang w:val="en-US" w:eastAsia="en-US" w:bidi="en-US"/>
        </w:rPr>
        <w:t>, por sua vez, dispõe que as exigências de habilitação poderão ser dispensadas, “total ou parcialmente, nas contratações para entrega imediata, nas contratações em valores inferiores a 1/4 (um quarto) do limite para dispensa de licitação para compras em geral e nas contratações de produto para pesquisa e desenvolvimento até o valor de R$ 300.000,00 (trezentos mil reais).” (Referidos valores são atualizados anualmente por Decreto, conforme art. 182 da mesma Lei).</w:t>
      </w:r>
    </w:p>
    <w:p>
      <w:r>
        <w:rPr>
          <w:rFonts w:ascii="Liberation Serif" w:hAnsi="Liberation Serif" w:eastAsia="Segoe UI"/>
          <w:i/>
          <w:iCs/>
          <w:color w:val="000000"/>
          <w:lang w:val="en-US" w:eastAsia="en-US" w:bidi="en-US"/>
        </w:rPr>
        <w:t xml:space="preserve">A combinação da disposição constitucional com a disposição legal resulta que as exigências de qualificação técnica e econômica nas situações retratadas no art. 70, III, deve ser excepcional e justificada. Nas demais situações, em razão da diretriz constitucional, a Administração deve observar, diante do caso concreto, se o objeto da contratação demanda a exigência de todos os requisitos de habilitação apresentados neste modelo, levando-se em consideração o vulto e/ou a complexidade do objeto, a essencialidade do serviço e os riscos decorrentes de sua paralisação em função da eventual incapacidade econômica da contratada em suportar vicissitudes contratuais, excluindo-se o que entender excessivo. </w:t>
      </w:r>
    </w:p>
    <w:p>
      <w:r>
        <w:rPr>
          <w:rFonts w:ascii="Liberation Serif" w:hAnsi="Liberation Serif" w:eastAsia="Segoe UI"/>
          <w:i/>
          <w:iCs/>
          <w:color w:val="000000"/>
          <w:lang w:val="en-US" w:eastAsia="en-US" w:bidi="en-US"/>
        </w:rPr>
        <w:t>Em contratações divididas em itens, as exigências de habilitação podem adequar-se a essa divisibilidade, sendo possível, em um mesmo instrumento, a exigência de requisitos de habilitação mais amplos somente para alguns itens. Para se fazer isso, basta acrescentar uma ressalva ao final na exigência pertinente, tal como “(exigência relativa somente aos itens X, Y, Z)”.</w:t>
      </w:r>
    </w:p>
    <w:p>
      <w:r>
        <w:rPr>
          <w:rFonts w:ascii="Liberation Serif" w:hAnsi="Liberation Serif" w:eastAsia="Segoe UI"/>
          <w:i/>
          <w:iCs/>
          <w:color w:val="000000"/>
          <w:lang w:val="en-US" w:eastAsia="en-US" w:bidi="en-US"/>
        </w:rPr>
        <w:t>É vedada a inclusão de requisitos que não tenham suporte nos arts. 66 a 69 da Lei nº 14.133, de 2021.</w:t>
      </w:r>
    </w:p>
  </w:comment>
  <w:comment w:id="34"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Instrução Normativa </w:t>
      </w:r>
      <w:hyperlink r:id="rId27">
        <w:r>
          <w:rPr>
            <w:rFonts w:ascii="Liberation Serif" w:hAnsi="Liberation Serif" w:eastAsia="Segoe UI"/>
            <w:i/>
            <w:iCs/>
            <w:color w:val="000000"/>
            <w:lang w:val="en-US" w:eastAsia="en-US" w:bidi="en-US"/>
          </w:rPr>
          <w:t>SEGES/ME nº 116, de 21 de dezembro de 2021</w:t>
        </w:r>
      </w:hyperlink>
      <w:r>
        <w:rPr>
          <w:rFonts w:ascii="Liberation Serif" w:hAnsi="Liberation Serif" w:eastAsia="Segoe UI"/>
          <w:i/>
          <w:iCs/>
          <w:color w:val="000000"/>
          <w:lang w:val="en-US" w:eastAsia="en-US" w:bidi="en-US"/>
        </w:rPr>
        <w:t xml:space="preserve">, estabelece procedimentos para a participação de pessoa física nas contratações públicas regidas pela </w:t>
      </w:r>
      <w:hyperlink r:id="rId28">
        <w:r>
          <w:rPr>
            <w:rFonts w:ascii="Liberation Serif" w:hAnsi="Liberation Serif" w:eastAsia="Segoe UI"/>
            <w:i/>
            <w:iCs/>
            <w:color w:val="000000"/>
            <w:lang w:val="en-US" w:eastAsia="en-US" w:bidi="en-US"/>
          </w:rPr>
          <w:t>Lei nº 14.133, de 2021</w:t>
        </w:r>
      </w:hyperlink>
      <w:r>
        <w:rPr>
          <w:rFonts w:ascii="Liberation Serif" w:hAnsi="Liberation Serif" w:eastAsia="Segoe UI"/>
          <w:i/>
          <w:iCs/>
          <w:color w:val="000000"/>
          <w:lang w:val="en-US" w:eastAsia="en-US" w:bidi="en-US"/>
        </w:rPr>
        <w:t>, no âmbito da Administração Pública federal direta, autárquica e fundacional. Em seu art. 2º, a norma considera pessoa física “ todo o trabalhador autônomo, sem qualquer vínculo de subordinação para fins de execução do objeto da contratação pública, incluindo os profissionais liberais não enquadrados como sociedade empresária ou empresário individual, nos termos das legislações específicas, que participa ou manifesta a intenção de participar de processo de contratação pública, sendo equiparado a fornecedor ou ao prestador de serviço que, em atendimento à solicitação da Administração, oferece proposta”.</w:t>
      </w:r>
    </w:p>
    <w:p>
      <w:r>
        <w:rPr>
          <w:rFonts w:ascii="Liberation Serif" w:hAnsi="Liberation Serif" w:eastAsia="Segoe UI"/>
          <w:i/>
          <w:iCs/>
          <w:color w:val="000000"/>
          <w:lang w:val="en-US" w:eastAsia="en-US" w:bidi="en-US"/>
        </w:rPr>
        <w:t xml:space="preserve">A </w:t>
      </w:r>
      <w:hyperlink r:id="rId29">
        <w:r>
          <w:rPr>
            <w:rFonts w:ascii="Liberation Serif" w:hAnsi="Liberation Serif" w:eastAsia="Segoe UI"/>
            <w:i/>
            <w:iCs/>
            <w:color w:val="000000"/>
            <w:lang w:val="en-US" w:eastAsia="en-US" w:bidi="en-US"/>
          </w:rPr>
          <w:t>IN SEGES/ME nº 116, de 2021</w:t>
        </w:r>
      </w:hyperlink>
      <w:r>
        <w:rPr>
          <w:rFonts w:ascii="Liberation Serif" w:hAnsi="Liberation Serif" w:eastAsia="Segoe UI"/>
          <w:i/>
          <w:iCs/>
          <w:color w:val="000000"/>
          <w:lang w:val="en-US" w:eastAsia="en-US" w:bidi="en-US"/>
        </w:rPr>
        <w:t xml:space="preserve">, determina, em seu art. 4º, caput, que os editais ou os avisos de contratação direta possibilitem a contratação das pessoas físicas, em observância aos objetivos da isonomia e da justa competição. Ainda de acordo com o parágrafo único desse mesmo dispositivo, será ressalvada a participação de pessoas físicas nas licitações ou contratações diretas, “quando a contratação exigir </w:t>
      </w:r>
      <w:r>
        <w:rPr>
          <w:rFonts w:ascii="Liberation Serif" w:hAnsi="Liberation Serif" w:eastAsia="Segoe UI"/>
          <w:b/>
          <w:bCs/>
          <w:i/>
          <w:iCs/>
          <w:color w:val="000000"/>
          <w:lang w:val="en-US" w:eastAsia="en-US" w:bidi="en-US"/>
        </w:rPr>
        <w:t>capital social mínimo</w:t>
      </w:r>
      <w:r>
        <w:rPr>
          <w:rFonts w:ascii="Liberation Serif" w:hAnsi="Liberation Serif" w:eastAsia="Segoe UI"/>
          <w:i/>
          <w:iCs/>
          <w:color w:val="000000"/>
          <w:lang w:val="en-US" w:eastAsia="en-US" w:bidi="en-US"/>
        </w:rPr>
        <w:t xml:space="preserve"> e </w:t>
      </w:r>
      <w:r>
        <w:rPr>
          <w:rFonts w:ascii="Liberation Serif" w:hAnsi="Liberation Serif" w:eastAsia="Segoe UI"/>
          <w:b/>
          <w:bCs/>
          <w:i/>
          <w:iCs/>
          <w:color w:val="000000"/>
          <w:lang w:val="en-US" w:eastAsia="en-US" w:bidi="en-US"/>
        </w:rPr>
        <w:t>estrutura mínima</w:t>
      </w:r>
      <w:r>
        <w:rPr>
          <w:rFonts w:ascii="Liberation Serif" w:hAnsi="Liberation Serif" w:eastAsia="Segoe UI"/>
          <w:i/>
          <w:iCs/>
          <w:color w:val="000000"/>
          <w:lang w:val="en-US" w:eastAsia="en-US" w:bidi="en-US"/>
        </w:rPr>
        <w:t xml:space="preserve">, com equipamentos, instalações e equipe de profissionais ou corpo técnico para a execução do objeto </w:t>
      </w:r>
      <w:r>
        <w:rPr>
          <w:rFonts w:ascii="Liberation Serif" w:hAnsi="Liberation Serif" w:eastAsia="Segoe UI"/>
          <w:b/>
          <w:bCs/>
          <w:i/>
          <w:iCs/>
          <w:color w:val="000000"/>
          <w:lang w:val="en-US" w:eastAsia="en-US" w:bidi="en-US"/>
        </w:rPr>
        <w:t>incompatíveis com a natureza profissional da pessoa física</w:t>
      </w:r>
      <w:r>
        <w:rPr>
          <w:rFonts w:ascii="Liberation Serif" w:hAnsi="Liberation Serif" w:eastAsia="Segoe UI"/>
          <w:i/>
          <w:iCs/>
          <w:color w:val="000000"/>
          <w:lang w:val="en-US" w:eastAsia="en-US" w:bidi="en-US"/>
        </w:rPr>
        <w:t xml:space="preserve">, conforme </w:t>
      </w:r>
      <w:r>
        <w:rPr>
          <w:rFonts w:ascii="Liberation Serif" w:hAnsi="Liberation Serif" w:eastAsia="Segoe UI"/>
          <w:b/>
          <w:bCs/>
          <w:i/>
          <w:iCs/>
          <w:color w:val="000000"/>
          <w:lang w:val="en-US" w:eastAsia="en-US" w:bidi="en-US"/>
        </w:rPr>
        <w:t>demonstrado em estudo técnico preliminar</w:t>
      </w:r>
      <w:r>
        <w:rPr>
          <w:rFonts w:ascii="Liberation Serif" w:hAnsi="Liberation Serif" w:eastAsia="Segoe UI"/>
          <w:i/>
          <w:iCs/>
          <w:color w:val="000000"/>
          <w:lang w:val="en-US" w:eastAsia="en-US" w:bidi="en-US"/>
        </w:rPr>
        <w:t xml:space="preserve">”. Portanto, a possibilidade, ou não, de contratação de pessoas físicas deverá ser objeto de prévia análise e manifestação técnica por parte do órgão contratante, na fase de planejamento da contratação. </w:t>
      </w:r>
    </w:p>
    <w:p>
      <w:r>
        <w:rPr>
          <w:rFonts w:ascii="Liberation Serif" w:hAnsi="Liberation Serif" w:eastAsia="Segoe UI"/>
          <w:i/>
          <w:iCs/>
          <w:color w:val="000000"/>
          <w:lang w:val="en-US" w:eastAsia="en-US" w:bidi="en-US"/>
        </w:rPr>
        <w:t xml:space="preserve">O </w:t>
      </w:r>
      <w:hyperlink r:id="rId30">
        <w:r>
          <w:rPr>
            <w:rFonts w:ascii="Liberation Serif" w:hAnsi="Liberation Serif" w:eastAsia="Segoe UI"/>
            <w:i/>
            <w:iCs/>
            <w:color w:val="000000"/>
            <w:lang w:val="en-US" w:eastAsia="en-US" w:bidi="en-US"/>
          </w:rPr>
          <w:t>Decreto n.º 10.977, de 23 de fevereiro de 2022,</w:t>
        </w:r>
      </w:hyperlink>
      <w:r>
        <w:rPr>
          <w:rFonts w:ascii="Liberation Serif" w:hAnsi="Liberation Serif" w:eastAsia="Segoe UI"/>
          <w:i/>
          <w:iCs/>
          <w:color w:val="000000"/>
          <w:lang w:val="en-US" w:eastAsia="en-US" w:bidi="en-US"/>
        </w:rPr>
        <w:t xml:space="preserve"> que regulamenta a Lei nº 7.116, de 29 de agosto de 1983, e a Lei nº 9.454, de 7 de abril de 1997, estabelece, em seu art. 3º, que a Carteira de Identidade passa a adotar o número de inscrição no Cadastro de Pessoas Físicas - CPF como o número do registro geral nacional previsto no inciso IV do </w:t>
      </w:r>
      <w:r>
        <w:rPr>
          <w:rFonts w:ascii="Liberation Serif" w:hAnsi="Liberation Serif" w:eastAsia="Segoe UI"/>
          <w:b/>
          <w:bCs/>
          <w:i/>
          <w:iCs/>
          <w:color w:val="000000"/>
          <w:lang w:val="en-US" w:eastAsia="en-US" w:bidi="en-US"/>
        </w:rPr>
        <w:t>caput </w:t>
      </w:r>
      <w:r>
        <w:rPr>
          <w:rFonts w:ascii="Liberation Serif" w:hAnsi="Liberation Serif" w:eastAsia="Segoe UI"/>
          <w:i/>
          <w:iCs/>
          <w:color w:val="000000"/>
          <w:lang w:val="en-US" w:eastAsia="en-US" w:bidi="en-US"/>
        </w:rPr>
        <w:t>do seu art. 11.</w:t>
      </w:r>
    </w:p>
  </w:comment>
  <w:comment w:id="33"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w:t>
      </w:r>
      <w:hyperlink r:id="rId31">
        <w:r>
          <w:rPr>
            <w:rFonts w:ascii="Liberation Serif" w:hAnsi="Liberation Serif" w:eastAsia="Segoe UI"/>
            <w:i/>
            <w:iCs/>
            <w:color w:val="000000"/>
            <w:lang w:val="en-US" w:eastAsia="en-US" w:bidi="en-US"/>
          </w:rPr>
          <w:t>Instrução Normativa SEGES/ME nº 116, de 21 de dezembro de 2021</w:t>
        </w:r>
      </w:hyperlink>
      <w:r>
        <w:rPr>
          <w:rFonts w:ascii="Liberation Serif" w:hAnsi="Liberation Serif" w:eastAsia="Segoe UI"/>
          <w:i/>
          <w:iCs/>
          <w:color w:val="000000"/>
          <w:lang w:val="en-US" w:eastAsia="en-US" w:bidi="en-US"/>
        </w:rPr>
        <w:t xml:space="preserve">, estabelece procedimentos para a participação de pessoa física nas contratações públicas regidas pela </w:t>
      </w:r>
      <w:hyperlink r:id="rId32">
        <w:r>
          <w:rPr>
            <w:rFonts w:ascii="Liberation Serif" w:hAnsi="Liberation Serif" w:eastAsia="Segoe UI"/>
            <w:i/>
            <w:iCs/>
            <w:color w:val="000000"/>
            <w:lang w:val="en-US" w:eastAsia="en-US" w:bidi="en-US"/>
          </w:rPr>
          <w:t>Lei nº 14.133, de 2021</w:t>
        </w:r>
      </w:hyperlink>
      <w:r>
        <w:rPr>
          <w:rFonts w:ascii="Liberation Serif" w:hAnsi="Liberation Serif" w:eastAsia="Segoe UI"/>
          <w:i/>
          <w:iCs/>
          <w:color w:val="000000"/>
          <w:lang w:val="en-US" w:eastAsia="en-US" w:bidi="en-US"/>
        </w:rPr>
        <w:t>, no âmbito da Administração Pública federal direta, autárquica e fundacional. Em seu art. 2º, a norma considera pessoa física “ todo o trabalhador autônomo, sem qualquer vínculo de subordinação para fins de execução do objeto da contratação pública, incluindo os profissionais liberais não enquadrados como sociedade empresária ou empresário individual, nos termos das legislações específicas, que participa ou manifesta a intenção de participar de processo de contratação pública, sendo equiparado a fornecedor ou ao prestador de serviço que, em atendimento à solicitação da Administração, oferece proposta”.</w:t>
      </w:r>
    </w:p>
    <w:p>
      <w:r>
        <w:rPr>
          <w:rFonts w:ascii="Liberation Serif" w:hAnsi="Liberation Serif" w:eastAsia="Segoe UI"/>
          <w:i/>
          <w:iCs/>
          <w:color w:val="000000"/>
          <w:lang w:val="en-US" w:eastAsia="en-US" w:bidi="en-US"/>
        </w:rPr>
        <w:t xml:space="preserve">A IN SEGES/ME nº 116, de 2021, determina, em seu art. 4º, caput, que os editais ou os avisos de contratação direta possibilitem a contratação das pessoas físicas, em observância aos objetivos da isonomia e da justa competição. Ainda de acordo com o parágrafo único desse mesmo dispositivo, será ressalvada a participação de pessoas físicas nas licitações ou contratações diretas, “quando a contratação exigir </w:t>
      </w:r>
      <w:r>
        <w:rPr>
          <w:rFonts w:ascii="Liberation Serif" w:hAnsi="Liberation Serif" w:eastAsia="Segoe UI"/>
          <w:b/>
          <w:bCs/>
          <w:i/>
          <w:iCs/>
          <w:color w:val="000000"/>
          <w:lang w:val="en-US" w:eastAsia="en-US" w:bidi="en-US"/>
        </w:rPr>
        <w:t>capital social mínimo</w:t>
      </w:r>
      <w:r>
        <w:rPr>
          <w:rFonts w:ascii="Liberation Serif" w:hAnsi="Liberation Serif" w:eastAsia="Segoe UI"/>
          <w:i/>
          <w:iCs/>
          <w:color w:val="000000"/>
          <w:lang w:val="en-US" w:eastAsia="en-US" w:bidi="en-US"/>
        </w:rPr>
        <w:t xml:space="preserve"> e </w:t>
      </w:r>
      <w:r>
        <w:rPr>
          <w:rFonts w:ascii="Liberation Serif" w:hAnsi="Liberation Serif" w:eastAsia="Segoe UI"/>
          <w:b/>
          <w:bCs/>
          <w:i/>
          <w:iCs/>
          <w:color w:val="000000"/>
          <w:lang w:val="en-US" w:eastAsia="en-US" w:bidi="en-US"/>
        </w:rPr>
        <w:t>estrutura mínima</w:t>
      </w:r>
      <w:r>
        <w:rPr>
          <w:rFonts w:ascii="Liberation Serif" w:hAnsi="Liberation Serif" w:eastAsia="Segoe UI"/>
          <w:i/>
          <w:iCs/>
          <w:color w:val="000000"/>
          <w:lang w:val="en-US" w:eastAsia="en-US" w:bidi="en-US"/>
        </w:rPr>
        <w:t xml:space="preserve">, com equipamentos, instalações e equipe de profissionais ou corpo técnico para a execução do objeto </w:t>
      </w:r>
      <w:r>
        <w:rPr>
          <w:rFonts w:ascii="Liberation Serif" w:hAnsi="Liberation Serif" w:eastAsia="Segoe UI"/>
          <w:b/>
          <w:bCs/>
          <w:i/>
          <w:iCs/>
          <w:color w:val="000000"/>
          <w:lang w:val="en-US" w:eastAsia="en-US" w:bidi="en-US"/>
        </w:rPr>
        <w:t>incompatíveis com a natureza profissional da pessoa física</w:t>
      </w:r>
      <w:r>
        <w:rPr>
          <w:rFonts w:ascii="Liberation Serif" w:hAnsi="Liberation Serif" w:eastAsia="Segoe UI"/>
          <w:i/>
          <w:iCs/>
          <w:color w:val="000000"/>
          <w:lang w:val="en-US" w:eastAsia="en-US" w:bidi="en-US"/>
        </w:rPr>
        <w:t xml:space="preserve">, conforme </w:t>
      </w:r>
      <w:r>
        <w:rPr>
          <w:rFonts w:ascii="Liberation Serif" w:hAnsi="Liberation Serif" w:eastAsia="Segoe UI"/>
          <w:b/>
          <w:bCs/>
          <w:i/>
          <w:iCs/>
          <w:color w:val="000000"/>
          <w:lang w:val="en-US" w:eastAsia="en-US" w:bidi="en-US"/>
        </w:rPr>
        <w:t>demonstrado em estudo técnico preliminar</w:t>
      </w:r>
      <w:r>
        <w:rPr>
          <w:rFonts w:ascii="Liberation Serif" w:hAnsi="Liberation Serif" w:eastAsia="Segoe UI"/>
          <w:i/>
          <w:iCs/>
          <w:color w:val="000000"/>
          <w:lang w:val="en-US" w:eastAsia="en-US" w:bidi="en-US"/>
        </w:rPr>
        <w:t xml:space="preserve">”. Portanto, a possibilidade, ou não, de contratação de pessoas físicas deverá ser objeto de prévia análise e manifestação técnica por parte do órgão contratante, na fase de planejamento da contratação. </w:t>
      </w:r>
    </w:p>
    <w:p>
      <w:r>
        <w:rPr>
          <w:rFonts w:ascii="Liberation Serif" w:hAnsi="Liberation Serif" w:eastAsia="Segoe UI"/>
          <w:i/>
          <w:iCs/>
          <w:color w:val="000000"/>
          <w:lang w:val="en-US" w:eastAsia="en-US" w:bidi="en-US"/>
        </w:rPr>
        <w:t xml:space="preserve">O </w:t>
      </w:r>
      <w:hyperlink r:id="rId33">
        <w:r>
          <w:rPr>
            <w:rFonts w:ascii="Liberation Serif" w:hAnsi="Liberation Serif" w:eastAsia="Segoe UI"/>
            <w:i/>
            <w:iCs/>
            <w:color w:val="000000"/>
            <w:lang w:val="en-US" w:eastAsia="en-US" w:bidi="en-US"/>
          </w:rPr>
          <w:t>Decreto n.º 10.977, de 23 de fevereiro de 2022</w:t>
        </w:r>
      </w:hyperlink>
      <w:r>
        <w:rPr>
          <w:rFonts w:ascii="Liberation Serif" w:hAnsi="Liberation Serif" w:eastAsia="Segoe UI"/>
          <w:i/>
          <w:iCs/>
          <w:color w:val="000000"/>
          <w:lang w:val="en-US" w:eastAsia="en-US" w:bidi="en-US"/>
        </w:rPr>
        <w:t xml:space="preserve">, que regulamenta a </w:t>
      </w:r>
      <w:hyperlink r:id="rId34">
        <w:r>
          <w:rPr>
            <w:rFonts w:ascii="Liberation Serif" w:hAnsi="Liberation Serif" w:eastAsia="Segoe UI"/>
            <w:i/>
            <w:iCs/>
            <w:color w:val="000000"/>
            <w:lang w:val="en-US" w:eastAsia="en-US" w:bidi="en-US"/>
          </w:rPr>
          <w:t>Lei nº 7.116, de 29 de agosto de 1983</w:t>
        </w:r>
      </w:hyperlink>
      <w:r>
        <w:rPr>
          <w:rFonts w:ascii="Liberation Serif" w:hAnsi="Liberation Serif" w:eastAsia="Segoe UI"/>
          <w:i/>
          <w:iCs/>
          <w:color w:val="000000"/>
          <w:lang w:val="en-US" w:eastAsia="en-US" w:bidi="en-US"/>
        </w:rPr>
        <w:t xml:space="preserve">, e a </w:t>
      </w:r>
      <w:r>
        <w:fldChar w:fldCharType="begin"/>
      </w:r>
      <w:r>
        <w:instrText> HYPERLINK "http://www.planalto.gov.br/ccivil_03/leis/l9454.htm" \l "art3"</w:instrText>
      </w:r>
      <w:r>
        <w:fldChar w:fldCharType="separate"/>
      </w:r>
      <w:r>
        <w:rPr>
          <w:rFonts w:ascii="Liberation Serif" w:hAnsi="Liberation Serif" w:eastAsia="Segoe UI"/>
          <w:i/>
          <w:iCs/>
          <w:color w:val="000000"/>
          <w:lang w:val="en-US" w:eastAsia="en-US" w:bidi="en-US"/>
        </w:rPr>
        <w:t>Lei nº 9.454, de 7 de abril de 1997</w:t>
      </w:r>
      <w:r>
        <w:fldChar w:fldCharType="end"/>
      </w:r>
      <w:r>
        <w:rPr>
          <w:rFonts w:ascii="Liberation Serif" w:hAnsi="Liberation Serif" w:eastAsia="Segoe UI"/>
          <w:i/>
          <w:iCs/>
          <w:color w:val="000000"/>
          <w:lang w:val="en-US" w:eastAsia="en-US" w:bidi="en-US"/>
        </w:rPr>
        <w:t>, estabelece, em seu art. 3º, que a Carteira de Identidade passa a adotar o número de inscrição no Cadastro de Pessoas Físicas - CPF como o número do registro geral nacional previsto no inciso IV do </w:t>
      </w:r>
      <w:r>
        <w:rPr>
          <w:rFonts w:ascii="Liberation Serif" w:hAnsi="Liberation Serif" w:eastAsia="Segoe UI"/>
          <w:b/>
          <w:bCs/>
          <w:i/>
          <w:iCs/>
          <w:color w:val="000000"/>
          <w:lang w:val="en-US" w:eastAsia="en-US" w:bidi="en-US"/>
        </w:rPr>
        <w:t>caput </w:t>
      </w:r>
      <w:r>
        <w:rPr>
          <w:rFonts w:ascii="Liberation Serif" w:hAnsi="Liberation Serif" w:eastAsia="Segoe UI"/>
          <w:i/>
          <w:iCs/>
          <w:color w:val="000000"/>
          <w:lang w:val="en-US" w:eastAsia="en-US" w:bidi="en-US"/>
        </w:rPr>
        <w:t>do seu art. 11.</w:t>
      </w:r>
    </w:p>
  </w:comment>
  <w:comment w:id="35"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w:t>
      </w:r>
      <w:hyperlink r:id="rId35">
        <w:r>
          <w:rPr>
            <w:rFonts w:ascii="Liberation Serif" w:hAnsi="Liberation Serif" w:eastAsia="Segoe UI"/>
            <w:i/>
            <w:iCs/>
            <w:color w:val="000000"/>
            <w:lang w:val="en-US" w:eastAsia="en-US" w:bidi="en-US"/>
          </w:rPr>
          <w:t>art. 41 da Lei nº 14.195, de 26 de agosto de 2021</w:t>
        </w:r>
      </w:hyperlink>
      <w:r>
        <w:rPr>
          <w:rFonts w:ascii="Liberation Serif" w:hAnsi="Liberation Serif" w:eastAsia="Segoe UI"/>
          <w:i/>
          <w:iCs/>
          <w:color w:val="000000"/>
          <w:lang w:val="en-US" w:eastAsia="en-US" w:bidi="en-US"/>
        </w:rPr>
        <w:t>, transformou todas as empresas individuais de responsabilidade limitada (EIRELI) existentes na data da entrada em vigor da Lei em sociedades limitadas unipessoais (SLU), independentemente de qualquer alteração em seus respectivos atos constitutivos.</w:t>
      </w:r>
    </w:p>
    <w:p>
      <w:r>
        <w:rPr>
          <w:rFonts w:ascii="Liberation Serif" w:hAnsi="Liberation Serif" w:eastAsia="Segoe UI"/>
          <w:i/>
          <w:iCs/>
          <w:color w:val="000000"/>
          <w:lang w:val="en-US" w:eastAsia="en-US" w:bidi="en-US"/>
        </w:rPr>
        <w:t xml:space="preserve">Posteriormente, </w:t>
      </w:r>
      <w:hyperlink r:id="rId36">
        <w:r>
          <w:rPr>
            <w:rFonts w:ascii="Liberation Serif" w:hAnsi="Liberation Serif" w:eastAsia="Segoe UI"/>
            <w:i/>
            <w:iCs/>
            <w:color w:val="000000"/>
            <w:lang w:val="en-US" w:eastAsia="en-US" w:bidi="en-US"/>
          </w:rPr>
          <w:t>o inciso VI, alíneas “a” e “b”, art. 20, da Lei nº 14.382, de 27 de junho de 2022</w:t>
        </w:r>
      </w:hyperlink>
      <w:r>
        <w:rPr>
          <w:rFonts w:ascii="Liberation Serif" w:hAnsi="Liberation Serif" w:eastAsia="Segoe UI"/>
          <w:i/>
          <w:iCs/>
          <w:color w:val="000000"/>
          <w:lang w:val="en-US" w:eastAsia="en-US" w:bidi="en-US"/>
        </w:rPr>
        <w:t>, revogou as disposições sobre EIRELI constantes do inciso VI do caput do art. 44 e do Título I-A do Livro II da Parte Especial do Código Civil (</w:t>
      </w:r>
      <w:hyperlink r:id="rId37">
        <w:r>
          <w:rPr>
            <w:rFonts w:ascii="Liberation Serif" w:hAnsi="Liberation Serif" w:eastAsia="Segoe UI"/>
            <w:i/>
            <w:iCs/>
            <w:color w:val="000000"/>
            <w:lang w:val="en-US" w:eastAsia="en-US" w:bidi="en-US"/>
          </w:rPr>
          <w:t>Lei nº 10.406, de 10 de janeiro de 2002</w:t>
        </w:r>
      </w:hyperlink>
      <w:r>
        <w:rPr>
          <w:rFonts w:ascii="Liberation Serif" w:hAnsi="Liberation Serif" w:eastAsia="Segoe UI"/>
          <w:i/>
          <w:iCs/>
          <w:color w:val="000000"/>
          <w:lang w:val="en-US" w:eastAsia="en-US" w:bidi="en-US"/>
        </w:rPr>
        <w:t>).</w:t>
      </w:r>
    </w:p>
    <w:p>
      <w:r>
        <w:rPr>
          <w:rFonts w:ascii="Liberation Serif" w:hAnsi="Liberation Serif" w:eastAsia="Segoe UI"/>
          <w:i/>
          <w:iCs/>
          <w:color w:val="000000"/>
          <w:lang w:val="en-US" w:eastAsia="en-US" w:bidi="en-US"/>
        </w:rPr>
        <w:t>Diante dessa situação, orientamos os agentes de contratação da seguinte forma: se a empresa for identificada como EIRELI em seus atos constitutivos, ela deverá ser considerada como convertida em SLU, automaticamente, durante o processo de contratação. Os atos constitutivos, inclusive, deverão ser considerados regulares como EIRELI, mas a empresa deverá se comportar na contratação como uma SLU.</w:t>
      </w:r>
    </w:p>
  </w:comment>
  <w:comment w:id="36"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artigo 193 do Código Tributário Nacional (</w:t>
      </w:r>
      <w:hyperlink r:id="rId38">
        <w:r>
          <w:rPr>
            <w:rFonts w:ascii="Liberation Serif" w:hAnsi="Liberation Serif" w:eastAsia="Segoe UI"/>
            <w:i/>
            <w:iCs/>
            <w:color w:val="000000"/>
            <w:lang w:val="en-US" w:eastAsia="en-US" w:bidi="en-US"/>
          </w:rPr>
          <w:t>Lei nº 5.172, de 25 de outubro de 1966</w:t>
        </w:r>
      </w:hyperlink>
      <w:r>
        <w:rPr>
          <w:rFonts w:ascii="Liberation Serif" w:hAnsi="Liberation Serif" w:eastAsia="Segoe UI"/>
          <w:i/>
          <w:iCs/>
          <w:color w:val="000000"/>
          <w:lang w:val="en-US" w:eastAsia="en-US" w:bidi="en-US"/>
        </w:rPr>
        <w:t xml:space="preserve">) preceitua que a prova da quitação de todos os tributos devidos dar-se-á no âmbito da Fazenda Pública interessada, “relativos à atividade em cujo exercício contrata ou concorre”. Nessa mesma linha, </w:t>
      </w:r>
      <w:hyperlink r:id="rId39">
        <w:r>
          <w:rPr>
            <w:rFonts w:ascii="Liberation Serif" w:hAnsi="Liberation Serif" w:eastAsia="Segoe UI"/>
            <w:i/>
            <w:iCs/>
            <w:color w:val="000000"/>
            <w:lang w:val="en-US" w:eastAsia="en-US" w:bidi="en-US"/>
          </w:rPr>
          <w:t>o art. 68, inciso II, da Lei n.º 14.133, de 2021</w:t>
        </w:r>
      </w:hyperlink>
      <w:r>
        <w:rPr>
          <w:rFonts w:ascii="Liberation Serif" w:hAnsi="Liberation Serif" w:eastAsia="Segoe UI"/>
          <w:i/>
          <w:iCs/>
          <w:color w:val="000000"/>
          <w:lang w:val="en-US" w:eastAsia="en-US" w:bidi="en-US"/>
        </w:rPr>
        <w:t>, estabelece a exigência de “inscrição no cadastro de contribuintes estadual e/ou municipal, se houver, relativo ao domicílio ou sede do licitante, pertinente ao seu ramo de atividade e compatível com o objeto contratual”. Dessa forma, a prova de inscrição no cadastro de contribuintes estadual ou municipal e a prova de regularidade fiscal correspondente deve levar em conta a natureza da atividade objeto da contratação e o âmbito da tributação sobre ele incidente:  tratando-se de serviços em geral, incide o ISS, tributo de competência municipal, ao passo que, para aquisições incide o ICMS, tributo de competência estadual. Cabe ao órgão contratante aferir o imposto aplicável e ajustar conforme o caso.</w:t>
      </w:r>
    </w:p>
  </w:comment>
  <w:comment w:id="37" w:author="Autor" w:date="0-00-00T00:00:00Z" w:initials="A">
    <w:p>
      <w:r>
        <w:rPr>
          <w:rFonts w:ascii="Liberation Serif" w:hAnsi="Liberation Serif" w:eastAsia="Segoe UI"/>
          <w:b/>
          <w:i/>
          <w:lang w:val="en-US" w:eastAsia="en-US" w:bidi="en-US"/>
        </w:rPr>
        <w:t xml:space="preserve">Nota Explicativa: </w:t>
      </w:r>
      <w:r>
        <w:rPr>
          <w:rFonts w:ascii="Liberation Serif" w:hAnsi="Liberation Serif" w:eastAsia="Segoe UI"/>
          <w:i/>
          <w:iCs/>
          <w:color w:val="000000"/>
          <w:lang w:val="en-US" w:eastAsia="en-US" w:bidi="en-US"/>
        </w:rPr>
        <w:t>A apresentação do Certificado de Condição de Microempreendedor Individual – CCMEI supre as exigências de inscrição nos cadastros fiscais, na medida em que essas informações constam no próprio Certificado.</w:t>
      </w:r>
    </w:p>
  </w:comment>
  <w:comment w:id="38" w:author="Autor" w:date="0-00-00T00:00:00Z" w:initials="A">
    <w:p>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xml:space="preserve"> A Administração deve examinar, diante do caso concreto, se o objeto da contratação demanda a exigência de todos os requisitos de habilitação apresentados neste modelo, levando-se em consideração o vulto e/ou a complexidade e a essencialidade do objeto, bem como os riscos decorrentes de sua paralisação em função da eventual incapacidade econômica da contratada em suportar os deveres contratuais, excluindo-se o que entender excessivo. Nesse sentido, a exigência pode restringir-se a alguns itens, como, por exemplo, somente aos itens não exclusivos a microempresa e empresas de pequeno porte, ou mesmo não ser exigida para nenhum deles, caso em que deve ser suprimida do documento. Conforme Nota Explicativa do início deste tópico, a exigência de qualificação técnica e econômica nas circunstâncias previstas no art. 70, III da </w:t>
      </w:r>
      <w:hyperlink r:id="rId40">
        <w:r>
          <w:rPr>
            <w:rFonts w:ascii="Liberation Serif" w:hAnsi="Liberation Serif" w:eastAsia="Segoe UI"/>
            <w:i/>
            <w:iCs/>
            <w:color w:val="000000"/>
            <w:lang w:val="en-US" w:eastAsia="en-US" w:bidi="en-US"/>
          </w:rPr>
          <w:t>Lei n.º 14.133, de 2021</w:t>
        </w:r>
      </w:hyperlink>
      <w:r>
        <w:rPr>
          <w:rFonts w:ascii="Liberation Serif" w:hAnsi="Liberation Serif" w:eastAsia="Segoe UI"/>
          <w:i/>
          <w:iCs/>
          <w:color w:val="000000"/>
          <w:lang w:val="en-US" w:eastAsia="en-US" w:bidi="en-US"/>
        </w:rPr>
        <w:t xml:space="preserve">, deve ser excepcional e justificada, à luz do </w:t>
      </w:r>
      <w:hyperlink r:id="rId41">
        <w:r>
          <w:rPr>
            <w:rFonts w:ascii="Liberation Serif" w:hAnsi="Liberation Serif" w:eastAsia="Segoe UI"/>
            <w:i/>
            <w:iCs/>
            <w:color w:val="000000"/>
            <w:lang w:val="en-US" w:eastAsia="en-US" w:bidi="en-US"/>
          </w:rPr>
          <w:t>art. 37, XXI, da Constituição Federal</w:t>
        </w:r>
      </w:hyperlink>
      <w:r>
        <w:rPr>
          <w:rFonts w:ascii="Liberation Serif" w:hAnsi="Liberation Serif" w:eastAsia="Segoe UI"/>
          <w:i/>
          <w:iCs/>
          <w:color w:val="000000"/>
          <w:lang w:val="en-US" w:eastAsia="en-US" w:bidi="en-US"/>
        </w:rPr>
        <w:t>.</w:t>
      </w:r>
    </w:p>
    <w:p>
      <w:r>
        <w:rPr>
          <w:rFonts w:ascii="Liberation Serif" w:hAnsi="Liberation Serif" w:eastAsia="Segoe UI"/>
          <w:lang w:val="en-US" w:eastAsia="en-US" w:bidi="en-US"/>
        </w:rPr>
      </w:r>
    </w:p>
    <w:p>
      <w:r>
        <w:rPr>
          <w:rFonts w:ascii="Liberation Serif" w:hAnsi="Liberation Serif" w:eastAsia="Segoe UI"/>
          <w:b/>
          <w:bCs/>
          <w:i/>
          <w:iCs/>
          <w:color w:val="000000"/>
          <w:lang w:val="en-US" w:eastAsia="en-US" w:bidi="en-US"/>
        </w:rPr>
        <w:t>Nota Explicativa 2:</w:t>
      </w:r>
      <w:r>
        <w:rPr>
          <w:rFonts w:ascii="Liberation Serif" w:hAnsi="Liberation Serif" w:eastAsia="Segoe UI"/>
          <w:i/>
          <w:iCs/>
          <w:color w:val="000000"/>
          <w:lang w:val="en-US" w:eastAsia="en-US" w:bidi="en-US"/>
        </w:rPr>
        <w:t xml:space="preserve"> É possível adotar critérios de habilitação econômico-financeira com requisitos diferenciados, estabelecidos conforme as peculiaridades do objeto a ser contratado, com justificativa do percentual adotado nos autos do processo.</w:t>
      </w:r>
    </w:p>
    <w:p>
      <w:r>
        <w:rPr>
          <w:rFonts w:ascii="Liberation Serif" w:hAnsi="Liberation Serif" w:eastAsia="Segoe UI"/>
          <w:lang w:val="en-US" w:eastAsia="en-US" w:bidi="en-US"/>
        </w:rPr>
      </w:r>
    </w:p>
    <w:p>
      <w:r>
        <w:rPr>
          <w:rFonts w:ascii="Liberation Serif" w:hAnsi="Liberation Serif" w:eastAsia="Segoe UI"/>
          <w:lang w:val="en-US" w:eastAsia="en-US" w:bidi="en-US"/>
        </w:rPr>
        <w:t>Nota Explicativa 3: Em se tratando de contratação direta não precedida de dispensa eletrônica, os aspectos da habilitação da empresa, sobretudo os ligados à qualificação técnica e econômica, podem estar discriminados no processo administrativo, ao se motivar a escolha do fornecedor, caso em que não precisam constar do Termo de Referência.</w:t>
      </w:r>
    </w:p>
  </w:comment>
  <w:comment w:id="39" w:author="Autor" w:date="0-00-00T00:00:00Z" w:initials="A">
    <w:p>
      <w:r>
        <w:rPr>
          <w:rFonts w:ascii="Liberation Serif" w:hAnsi="Liberation Serif" w:eastAsia="Segoe UI"/>
          <w:b/>
          <w:bCs/>
          <w:i/>
          <w:iCs/>
          <w:lang w:val="en-US" w:eastAsia="en-US" w:bidi="en-US"/>
        </w:rPr>
        <w:t xml:space="preserve">Nota Explicativa 1: </w:t>
      </w:r>
      <w:r>
        <w:rPr>
          <w:rFonts w:ascii="Liberation Serif" w:hAnsi="Liberation Serif" w:eastAsia="Segoe UI"/>
          <w:i/>
          <w:iCs/>
          <w:lang w:val="en-US" w:eastAsia="en-US" w:bidi="en-US"/>
        </w:rPr>
        <w:t xml:space="preserve">A Lei n.º 14.133 de 2021, em seu art. 69, inciso I, prevê que a prova de qualificação econômico-financeira do licitante será restrita à apresentação, dentre outros documentos, do balanço patrimonial, das demonstrações de resultado e demais demonstrações contábeis dos </w:t>
      </w:r>
      <w:r>
        <w:rPr>
          <w:rFonts w:ascii="Liberation Serif" w:hAnsi="Liberation Serif" w:eastAsia="Segoe UI"/>
          <w:b/>
          <w:bCs/>
          <w:i/>
          <w:iCs/>
          <w:lang w:val="en-US" w:eastAsia="en-US" w:bidi="en-US"/>
        </w:rPr>
        <w:t>2 (dois) últimos</w:t>
      </w:r>
      <w:r>
        <w:rPr>
          <w:rFonts w:ascii="Liberation Serif" w:hAnsi="Liberation Serif" w:eastAsia="Segoe UI"/>
          <w:i/>
          <w:iCs/>
          <w:lang w:val="en-US" w:eastAsia="en-US" w:bidi="en-US"/>
        </w:rPr>
        <w:t xml:space="preserve"> exercícios sociais, ampliando, com isso, o limite temporal da exigência constante do art. 31, inciso I, da Lei n.º 8.666 de 1993, que limitava a exigência à documentação relativa ao “último exercício social”. </w:t>
      </w:r>
    </w:p>
    <w:p>
      <w:r>
        <w:rPr>
          <w:rFonts w:ascii="Liberation Serif" w:hAnsi="Liberation Serif" w:eastAsia="Segoe UI"/>
          <w:i/>
          <w:iCs/>
          <w:lang w:val="en-US" w:eastAsia="en-US" w:bidi="en-US"/>
        </w:rPr>
        <w:t xml:space="preserve">Ao interpretar a referida disposição, o PARECER n. 00017/2024/CNLCA/CGU/AGU (NUP: 08658.083758/2024-38) concluiu pela ausência de previsão legal expressa indicando que os índices previstos no caput do artigo 69 da Lei n.º 14.133, de 2021, devam </w:t>
      </w:r>
      <w:r>
        <w:rPr>
          <w:rFonts w:ascii="Liberation Serif" w:hAnsi="Liberation Serif" w:eastAsia="Segoe UI"/>
          <w:b/>
          <w:bCs/>
          <w:i/>
          <w:iCs/>
          <w:lang w:val="en-US" w:eastAsia="en-US" w:bidi="en-US"/>
        </w:rPr>
        <w:t>necessariamente</w:t>
      </w:r>
      <w:r>
        <w:rPr>
          <w:rFonts w:ascii="Liberation Serif" w:hAnsi="Liberation Serif" w:eastAsia="Segoe UI"/>
          <w:i/>
          <w:iCs/>
          <w:lang w:val="en-US" w:eastAsia="en-US" w:bidi="en-US"/>
        </w:rPr>
        <w:t xml:space="preserve"> ser atingidos nos dois últimos exercícios, de modo que tal exigência “pode alcançar mais de um ano </w:t>
      </w:r>
      <w:r>
        <w:rPr>
          <w:rFonts w:ascii="Liberation Serif" w:hAnsi="Liberation Serif" w:eastAsia="Segoe UI"/>
          <w:b/>
          <w:bCs/>
          <w:i/>
          <w:iCs/>
          <w:lang w:val="en-US" w:eastAsia="en-US" w:bidi="en-US"/>
        </w:rPr>
        <w:t>em hipóteses que estejam devidamente justificadas pela Administração</w:t>
      </w:r>
      <w:r>
        <w:rPr>
          <w:rFonts w:ascii="Liberation Serif" w:hAnsi="Liberation Serif" w:eastAsia="Segoe UI"/>
          <w:i/>
          <w:iCs/>
          <w:lang w:val="en-US" w:eastAsia="en-US" w:bidi="en-US"/>
        </w:rPr>
        <w:t xml:space="preserve">.”, sendo conferida ao gestor, assim, “a possibilidade de </w:t>
      </w:r>
      <w:r>
        <w:rPr>
          <w:rFonts w:ascii="Liberation Serif" w:hAnsi="Liberation Serif" w:eastAsia="Segoe UI"/>
          <w:b/>
          <w:bCs/>
          <w:i/>
          <w:iCs/>
          <w:lang w:val="en-US" w:eastAsia="en-US" w:bidi="en-US"/>
        </w:rPr>
        <w:t>modulação da exigência</w:t>
      </w:r>
      <w:r>
        <w:rPr>
          <w:rFonts w:ascii="Liberation Serif" w:hAnsi="Liberation Serif" w:eastAsia="Segoe UI"/>
          <w:i/>
          <w:iCs/>
          <w:lang w:val="en-US" w:eastAsia="en-US" w:bidi="en-US"/>
        </w:rPr>
        <w:t xml:space="preserve"> e limitá-la a um período menor, como por exemplo apenas o último exercício social”.  Nesse contexto, caberá ao gestor, em cada caso concreto, avaliar, fundamentadamente, a pertinência de exigir a prova de atendimento dos índices estabelecidos no edital em relação ao último ou aos dois últimos exercícios sociais, fixando apenas as exigências de qualificação econômico-financeiras consideradas indispensáveis à garantia do cumprimento das obrigações do futuro contrato, nos termos do art. 37, inciso XXI, da Constituição. Caso a Administração decida, de forma justificada, por estender a exigência aos dois últimos exercícios sociais, a apuração dos indicadores a serem atendidos deverá ser feita </w:t>
      </w:r>
      <w:r>
        <w:rPr>
          <w:rFonts w:ascii="Liberation Serif" w:hAnsi="Liberation Serif" w:eastAsia="Segoe UI"/>
          <w:b/>
          <w:bCs/>
          <w:i/>
          <w:iCs/>
          <w:lang w:val="en-US" w:eastAsia="en-US" w:bidi="en-US"/>
        </w:rPr>
        <w:t>separadamente, em relação a cada um dos exercícios sociais</w:t>
      </w:r>
      <w:r>
        <w:rPr>
          <w:rFonts w:ascii="Liberation Serif" w:hAnsi="Liberation Serif" w:eastAsia="Segoe UI"/>
          <w:i/>
          <w:iCs/>
          <w:lang w:val="en-US" w:eastAsia="en-US" w:bidi="en-US"/>
        </w:rPr>
        <w:t xml:space="preserve">, tal como se mostra usualmente adotado no âmbito da contabilidade (art. 69, § 5º, da Lei n.º 14.133, de 2021). </w:t>
      </w:r>
    </w:p>
  </w:comment>
  <w:comment w:id="40" w:author="Autor" w:date="0-00-00T00:00:00Z" w:initials="A">
    <w:p>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xml:space="preserve"> Não podem ser cumulativas as exigências de capital mínimo e de patrimônio líquido mínimo, razão pela qual a Administração deverá escolher motivadamente entre uma das duas opções.</w:t>
      </w:r>
    </w:p>
    <w:p>
      <w:r>
        <w:rPr>
          <w:rFonts w:ascii="Liberation Serif" w:hAnsi="Liberation Serif" w:eastAsia="Segoe UI"/>
          <w:lang w:val="en-US" w:eastAsia="en-US" w:bidi="en-US"/>
        </w:rPr>
      </w:r>
    </w:p>
    <w:p>
      <w:r>
        <w:rPr>
          <w:rFonts w:ascii="Liberation Serif" w:hAnsi="Liberation Serif" w:eastAsia="Segoe UI"/>
          <w:b/>
          <w:bCs/>
          <w:i/>
          <w:iCs/>
          <w:color w:val="000000"/>
          <w:lang w:val="en-US" w:eastAsia="en-US" w:bidi="en-US"/>
        </w:rPr>
        <w:t>Nota Explicativa 2:</w:t>
      </w:r>
      <w:r>
        <w:rPr>
          <w:rFonts w:ascii="Liberation Serif" w:hAnsi="Liberation Serif" w:eastAsia="Segoe UI"/>
          <w:i/>
          <w:iCs/>
          <w:color w:val="000000"/>
          <w:lang w:val="en-US" w:eastAsia="en-US" w:bidi="en-US"/>
        </w:rPr>
        <w:t xml:space="preserve"> A fixação do percentual se insere na esfera de atuação discricionária da Administração até o limite legal de 10% (dez por cento) do valor estimado da contratação e deve ser proporcional aos riscos que a inexecução total ou parcial do contrato poderá acarretar para a Administração, considerando-se, entre outros fatores, o valor do contrato, a essencialidade do objeto, o tempo de duração do contrato. </w:t>
      </w:r>
    </w:p>
    <w:p>
      <w:r>
        <w:rPr>
          <w:rFonts w:ascii="Liberation Serif" w:hAnsi="Liberation Serif" w:eastAsia="Segoe UI"/>
          <w:i/>
          <w:iCs/>
          <w:color w:val="000000"/>
          <w:lang w:val="en-US" w:eastAsia="en-US" w:bidi="en-US"/>
        </w:rPr>
        <w:t>A sondagem do mercado se afigura importante, a fim de obter dados sobre o porte das empresas que atuam na área objeto da contratação. Ressalte-se que, se o referido percentual for fixado em seu mais alto patamar e o valor total estimado da contratação também for significativo, trará como consequência a necessidade de comprovação de patrimônio líquido elevado, o que poderá resultar na restrição à participação de interessados no certame, em especial, de microempresas ou empresas de pequeno porte, podendo ferir o princípio constitucional de incentivo a essas unidades empresariais. Por essa razão, é indispensável avaliação técnica sobre o assunto.</w:t>
      </w:r>
    </w:p>
  </w:comment>
  <w:comment w:id="41"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Inserir essa previsão quando for fixada a necessidade de apresentação do balanço e das demais demonstrações contábeis relativos aos </w:t>
      </w:r>
      <w:r>
        <w:rPr>
          <w:rFonts w:ascii="Liberation Serif" w:hAnsi="Liberation Serif" w:eastAsia="Segoe UI"/>
          <w:b/>
          <w:bCs/>
          <w:i/>
          <w:iCs/>
          <w:lang w:val="en-US" w:eastAsia="en-US" w:bidi="en-US"/>
        </w:rPr>
        <w:t xml:space="preserve">2 (dois) últimos exercícios sociais.  </w:t>
      </w:r>
    </w:p>
  </w:comment>
  <w:comment w:id="42"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Tal previsão  decorre do disposto no </w:t>
      </w:r>
      <w:hyperlink r:id="rId42">
        <w:r>
          <w:rPr>
            <w:rFonts w:ascii="Liberation Serif" w:hAnsi="Liberation Serif" w:eastAsia="Segoe UI"/>
            <w:i/>
            <w:iCs/>
            <w:color w:val="000000"/>
            <w:lang w:val="en-US" w:eastAsia="en-US" w:bidi="en-US"/>
          </w:rPr>
          <w:t>art. 69, §1º da Lei nº 14.133, de 2021</w:t>
        </w:r>
      </w:hyperlink>
      <w:r>
        <w:rPr>
          <w:rFonts w:ascii="Liberation Serif" w:hAnsi="Liberation Serif" w:eastAsia="Segoe UI"/>
          <w:i/>
          <w:iCs/>
          <w:color w:val="000000"/>
          <w:lang w:val="en-US" w:eastAsia="en-US" w:bidi="en-US"/>
        </w:rPr>
        <w:t>, podendo a Administração optar por tal disposição, desde que justificadamente.</w:t>
      </w:r>
    </w:p>
  </w:comment>
  <w:comment w:id="44" w:author="Autor" w:date="0-00-00T00:00:00Z" w:initials="A">
    <w:p>
      <w:r>
        <w:rPr>
          <w:rFonts w:ascii="Liberation Serif" w:hAnsi="Liberation Serif" w:eastAsia="Segoe UI"/>
          <w:lang w:val="en-US" w:eastAsia="en-US" w:bidi="en-US"/>
        </w:rPr>
      </w:r>
    </w:p>
    <w:p>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xml:space="preserve">: Em se tratando de contratação direta não precedida de dispensa eletrônica, os critérios de habilitação, notadamente os de qualificação econômica e técnica, podem estar apontados no processo, na motivação para a escolha do fornecedor, situação em que poderão ser suprimidos do TR. </w:t>
      </w:r>
    </w:p>
    <w:p>
      <w:r>
        <w:rPr>
          <w:rFonts w:ascii="Liberation Serif" w:hAnsi="Liberation Serif" w:eastAsia="Segoe UI"/>
          <w:lang w:val="en-US" w:eastAsia="en-US" w:bidi="en-US"/>
        </w:rPr>
      </w:r>
    </w:p>
    <w:p>
      <w:r>
        <w:rPr>
          <w:rFonts w:ascii="Liberation Serif" w:hAnsi="Liberation Serif" w:eastAsia="Segoe UI"/>
          <w:b/>
          <w:bCs/>
          <w:i/>
          <w:iCs/>
          <w:color w:val="000000"/>
          <w:lang w:val="en-US" w:eastAsia="en-US" w:bidi="en-US"/>
        </w:rPr>
        <w:t>Nota Explicativa 2</w:t>
      </w:r>
      <w:r>
        <w:rPr>
          <w:rFonts w:ascii="Liberation Serif" w:hAnsi="Liberation Serif" w:eastAsia="Segoe UI"/>
          <w:i/>
          <w:iCs/>
          <w:color w:val="000000"/>
          <w:lang w:val="en-US" w:eastAsia="en-US" w:bidi="en-US"/>
        </w:rPr>
        <w:t xml:space="preserve">: O </w:t>
      </w:r>
      <w:hyperlink r:id="rId43">
        <w:r>
          <w:rPr>
            <w:rFonts w:ascii="Liberation Serif" w:hAnsi="Liberation Serif" w:eastAsia="Segoe UI"/>
            <w:i/>
            <w:iCs/>
            <w:color w:val="000000"/>
            <w:lang w:val="en-US" w:eastAsia="en-US" w:bidi="en-US"/>
          </w:rPr>
          <w:t>art. 67 da Lei nº 14.133, de 2021</w:t>
        </w:r>
      </w:hyperlink>
      <w:r>
        <w:rPr>
          <w:rFonts w:ascii="Liberation Serif" w:hAnsi="Liberation Serif" w:eastAsia="Segoe UI"/>
          <w:i/>
          <w:iCs/>
          <w:color w:val="000000"/>
          <w:lang w:val="en-US" w:eastAsia="en-US" w:bidi="en-US"/>
        </w:rPr>
        <w:t xml:space="preserve">, não estabelece exigências de qualificação técnico-operacional ou técnico-profissional para o caso de contratações cujo objeto seja a aquisição de bens, tratando o dispositivo legal apenas das exigências pertinentes às obras e serviços. Nada obstante, entende-se ser juridicamente possível que a Administração formule exigências de qualificação técnica dos fornecedores no caso de compras de bens, com fundamento no </w:t>
      </w:r>
      <w:hyperlink r:id="rId44">
        <w:r>
          <w:rPr>
            <w:rFonts w:ascii="Liberation Serif" w:hAnsi="Liberation Serif" w:eastAsia="Segoe UI"/>
            <w:i/>
            <w:iCs/>
            <w:color w:val="000000"/>
            <w:lang w:val="en-US" w:eastAsia="en-US" w:bidi="en-US"/>
          </w:rPr>
          <w:t>artigo 37, inciso XXI, da Constituição Federal</w:t>
        </w:r>
      </w:hyperlink>
      <w:r>
        <w:rPr>
          <w:rFonts w:ascii="Liberation Serif" w:hAnsi="Liberation Serif" w:eastAsia="Segoe UI"/>
          <w:i/>
          <w:iCs/>
          <w:color w:val="000000"/>
          <w:lang w:val="en-US" w:eastAsia="en-US" w:bidi="en-US"/>
        </w:rPr>
        <w:t xml:space="preserve">, caso verifique que a medida é indispensável à garantia do cumprimento das obrigações pertinentes à execução do objeto. </w:t>
      </w:r>
    </w:p>
    <w:p>
      <w:r>
        <w:rPr>
          <w:rFonts w:ascii="Liberation Serif" w:hAnsi="Liberation Serif" w:eastAsia="Segoe UI"/>
          <w:i/>
          <w:iCs/>
          <w:color w:val="000000"/>
          <w:lang w:val="en-US" w:eastAsia="en-US" w:bidi="en-US"/>
        </w:rPr>
        <w:t>Para tanto, recomenda-se que a Administração se utilize da interpretação extensiva das regras, limites e princípios que incidem em relação à prova de qualificação técnica dos interessados na contratação de serviços, observadas as peculiaridades das compras em cada caso concreto.</w:t>
      </w:r>
    </w:p>
    <w:p>
      <w:r>
        <w:rPr>
          <w:rFonts w:ascii="Liberation Serif" w:hAnsi="Liberation Serif" w:eastAsia="Segoe UI"/>
          <w:lang w:val="en-US" w:eastAsia="en-US" w:bidi="en-US"/>
        </w:rPr>
      </w:r>
    </w:p>
    <w:p>
      <w:r>
        <w:rPr>
          <w:rFonts w:ascii="Liberation Serif" w:hAnsi="Liberation Serif" w:eastAsia="Segoe UI"/>
          <w:b/>
          <w:bCs/>
          <w:i/>
          <w:iCs/>
          <w:lang w:val="en-US" w:eastAsia="en-US" w:bidi="en-US"/>
        </w:rPr>
        <w:t xml:space="preserve">Nota Explicativa 3: </w:t>
      </w:r>
      <w:r>
        <w:rPr>
          <w:rFonts w:ascii="Liberation Serif" w:hAnsi="Liberation Serif" w:eastAsia="Segoe UI"/>
          <w:i/>
          <w:iCs/>
          <w:color w:val="000000"/>
          <w:lang w:val="en-US" w:eastAsia="en-US" w:bidi="en-US"/>
        </w:rPr>
        <w:t>Além de avaliar a pertinência de exigir qualificação técnica, o rigor das exigências também deve ser avaliado, promovendo-se adaptações pela área demandante ante o tipo de contratação que se pretende fazer. A redação ora apresentada visa a dispor sobre as possibilidades gerais trazidas pela lei, mas a área competente do órgão contratante deverá, NECESSARIAMENTE, ajustar TODAS as cláusulas aqui presentes à realidade de sua demanda específica, com base em justificativa do ETP.</w:t>
      </w:r>
    </w:p>
    <w:p>
      <w:r>
        <w:rPr>
          <w:rFonts w:ascii="Liberation Serif" w:hAnsi="Liberation Serif" w:eastAsia="Segoe UI"/>
          <w:lang w:val="en-US" w:eastAsia="en-US" w:bidi="en-US"/>
        </w:rPr>
      </w:r>
    </w:p>
    <w:p>
      <w:r>
        <w:rPr>
          <w:rFonts w:ascii="Liberation Serif" w:hAnsi="Liberation Serif" w:eastAsia="Segoe UI"/>
          <w:b/>
          <w:bCs/>
          <w:i/>
          <w:iCs/>
          <w:color w:val="000000"/>
          <w:lang w:val="en-US" w:eastAsia="en-US" w:bidi="en-US"/>
        </w:rPr>
        <w:t>Nota Explicativa 4</w:t>
      </w:r>
      <w:r>
        <w:rPr>
          <w:rFonts w:ascii="Liberation Serif" w:hAnsi="Liberation Serif" w:eastAsia="Segoe UI"/>
          <w:i/>
          <w:iCs/>
          <w:color w:val="000000"/>
          <w:lang w:val="en-US" w:eastAsia="en-US" w:bidi="en-US"/>
        </w:rPr>
        <w:t>: Em relação à pessoa física ou jurídica que se caracterize como “potencial subcontratado”, é possível a previsão de exigência de atestados específicos, situação na qual mais de um interessado poderá apresentar atestado relativo ao mesmo potencial subcontratado. Nesse sentido é o teor do § 9º do art. 67 da Lei nº 14.133, de 2021:</w:t>
      </w:r>
    </w:p>
    <w:p>
      <w:r>
        <w:rPr>
          <w:rFonts w:ascii="Liberation Serif" w:hAnsi="Liberation Serif" w:eastAsia="Segoe UI"/>
          <w:i/>
          <w:iCs/>
          <w:color w:val="000000"/>
          <w:lang w:val="en-US" w:eastAsia="en-US" w:bidi="en-US"/>
        </w:rPr>
        <w:t>“O edital poderá prever, para aspectos técnicos específicos, que a qualificação técnica seja demonstrada por meio de atestados relativos a potencial subcontratado, limitado a 25% (vinte e cinco por cento) do objeto a ser licitado, hipótese em que mais de um licitante poderá apresentar atestado relativo ao mesmo potencial subcontratado.”</w:t>
      </w:r>
    </w:p>
    <w:p>
      <w:r>
        <w:rPr>
          <w:rFonts w:ascii="Liberation Serif" w:hAnsi="Liberation Serif" w:eastAsia="Segoe UI"/>
          <w:lang w:val="en-US" w:eastAsia="en-US" w:bidi="en-US"/>
        </w:rPr>
      </w:r>
    </w:p>
    <w:p>
      <w:r>
        <w:rPr>
          <w:rFonts w:ascii="Liberation Serif" w:hAnsi="Liberation Serif" w:eastAsia="Segoe UI"/>
          <w:b/>
          <w:bCs/>
          <w:i/>
          <w:iCs/>
          <w:lang w:val="en-US" w:eastAsia="en-US" w:bidi="en-US"/>
        </w:rPr>
        <w:t xml:space="preserve">Nota Explicativa 5: </w:t>
      </w:r>
      <w:r>
        <w:rPr>
          <w:rFonts w:ascii="Liberation Serif" w:hAnsi="Liberation Serif" w:eastAsia="Segoe UI"/>
          <w:i/>
          <w:iCs/>
          <w:lang w:val="en-US" w:eastAsia="en-US" w:bidi="en-US"/>
        </w:rPr>
        <w:t>As exigências habilitatórias não podem ultrapassar os limites da razoabilidade, além de não ser permitido o estabelecimento de cláusulas desnecessárias e restritivas ao caráter competitivo. Devem restringir-se apenas ao necessário para o cumprimento do objeto licitado. A documentação exigida e permitida quanto à qualificação técnica está elencada no art. 67 da Lei nº 14.133, de 2021.</w:t>
      </w:r>
    </w:p>
  </w:comment>
  <w:comment w:id="43" w:author="Autor" w:date="0-00-00T00:00:00Z" w:initials="A">
    <w:p>
      <w:r>
        <w:rPr>
          <w:rFonts w:ascii="Liberation Serif" w:hAnsi="Liberation Serif" w:eastAsia="Segoe UI"/>
          <w:b/>
          <w:bCs/>
          <w:i/>
          <w:iCs/>
          <w:color w:val="000000"/>
          <w:lang w:val="en-US" w:eastAsia="en-US" w:bidi="en-US"/>
        </w:rPr>
        <w:t xml:space="preserve">Nota Explicativa 1: </w:t>
      </w:r>
      <w:r>
        <w:rPr>
          <w:rFonts w:ascii="Liberation Serif" w:hAnsi="Liberation Serif" w:eastAsia="Segoe UI"/>
          <w:i/>
          <w:iCs/>
          <w:color w:val="000000"/>
          <w:lang w:val="en-US" w:eastAsia="en-US" w:bidi="en-US"/>
        </w:rPr>
        <w:t>Além de avaliar a pertinência de exigir qualificação técnica, o rigor das exigências também deve ser avaliado, promovendo-se adaptações pela área demandante em face do tipo de contratação que se pretende fazer. A redação ora apresentada visa a dispor sobre as possibilidades gerais trazidas pela lei, mas a área competente do órgão contratante deverá, NECESSARIAMENTE, ajustar TODAS as cláusulas aqui presentes à realidade de sua demanda específica, com base em justificativa do ETP.</w:t>
      </w:r>
    </w:p>
    <w:p>
      <w:r>
        <w:rPr>
          <w:rFonts w:ascii="Liberation Serif" w:hAnsi="Liberation Serif" w:eastAsia="Segoe UI"/>
          <w:lang w:val="en-US" w:eastAsia="en-US" w:bidi="en-US"/>
        </w:rPr>
      </w:r>
    </w:p>
    <w:p>
      <w:r>
        <w:rPr>
          <w:rFonts w:ascii="Liberation Serif" w:hAnsi="Liberation Serif" w:eastAsia="Segoe UI"/>
          <w:lang w:val="en-US" w:eastAsia="en-US" w:bidi="en-US"/>
        </w:rPr>
        <w:t xml:space="preserve">Nota Explicativa 2: Conforme exposto na Nota Explicativa sobre os requisitos da contratação – vistoria –, essa declaração só deve ser exigida caso tenha sido considerada imprescindível a avaliação prévia do local de execução para o conhecimento pleno das condições e peculiaridades do objeto a ser contratado. </w:t>
      </w:r>
    </w:p>
  </w:comment>
  <w:comment w:id="45" w:author="Autor" w:date="0-00-00T00:00:00Z" w:initials="A">
    <w:p>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A Lei 14133/21 não prevê apresentação de atestados para comprovação de qualificação técnica no caso de compras. A exigência aqui somente tem cabimento quando houver alguma atividade envolvida com o fornecimento do bem que justifique esse cuidado. É o caso, por exemplo, de uma logística complexa para entrega de bens em todo território nacional e cuja falta possa acarretar sérios danos à saúde das pessoas. Também pode ser citado como exemplo a montagem e a instalação de equipamentos sofisticados, que exige conhecimento especializado. De todo modo, como se vê, os atestados se referem a um serviço associado ao bem e não ao bem em si.</w:t>
      </w:r>
    </w:p>
    <w:p>
      <w:r>
        <w:rPr>
          <w:rFonts w:ascii="Liberation Serif" w:hAnsi="Liberation Serif" w:eastAsia="Segoe UI"/>
          <w:lang w:val="en-US" w:eastAsia="en-US" w:bidi="en-US"/>
        </w:rPr>
      </w:r>
    </w:p>
    <w:p>
      <w:r>
        <w:rPr>
          <w:rFonts w:ascii="Liberation Serif" w:hAnsi="Liberation Serif" w:eastAsia="Segoe UI"/>
          <w:b/>
          <w:bCs/>
          <w:i/>
          <w:iCs/>
          <w:color w:val="000000"/>
          <w:lang w:val="en-US" w:eastAsia="en-US" w:bidi="en-US"/>
        </w:rPr>
        <w:t>Nota Explicativa 2:</w:t>
      </w:r>
      <w:r>
        <w:rPr>
          <w:rFonts w:ascii="Liberation Serif" w:hAnsi="Liberation Serif" w:eastAsia="Segoe UI"/>
          <w:i/>
          <w:iCs/>
          <w:color w:val="000000"/>
          <w:lang w:val="en-US" w:eastAsia="en-US" w:bidi="en-US"/>
        </w:rPr>
        <w:t xml:space="preserve"> A essência da capacidade operacional é procurar identificar se a futura contratada tem a infraestrutura empresarial e a capacidade de gestão de executar o objeto e, justamente por esse contexto, podem ser feitas exigências de comprovação de anterior execução de quantitativos mínimos (compatíveis com o objeto a ser contratado). Deste modo, é possível que essa comprovação se dê pelo somatório de atestados de contratos executados concomitantemente, pois revelam a capacidade operacional da empresa.</w:t>
      </w:r>
    </w:p>
    <w:p>
      <w:r>
        <w:rPr>
          <w:rFonts w:ascii="Liberation Serif" w:hAnsi="Liberation Serif" w:eastAsia="Segoe UI"/>
          <w:i/>
          <w:iCs/>
          <w:color w:val="000000"/>
          <w:lang w:val="en-US" w:eastAsia="en-US" w:bidi="en-US"/>
        </w:rPr>
        <w:t xml:space="preserve">De qualquer forma, é absolutamente fundamental que a exigência seja totalmente objetiva, indicando quantitativos precisos, para evitar dúvidas quanto à habilitação, que podem vir a comprometer o objetivo do processo de formalizar a contratação. </w:t>
      </w:r>
    </w:p>
    <w:p>
      <w:r>
        <w:rPr>
          <w:rFonts w:ascii="Liberation Serif" w:hAnsi="Liberation Serif" w:eastAsia="Segoe UI"/>
          <w:i/>
          <w:iCs/>
          <w:color w:val="000000"/>
          <w:lang w:val="en-US" w:eastAsia="en-US" w:bidi="en-US"/>
        </w:rPr>
        <w:t xml:space="preserve">Conforme </w:t>
      </w:r>
      <w:hyperlink r:id="rId45">
        <w:r>
          <w:rPr>
            <w:rFonts w:ascii="Liberation Serif" w:hAnsi="Liberation Serif" w:eastAsia="Segoe UI"/>
            <w:i/>
            <w:iCs/>
            <w:color w:val="000000"/>
            <w:lang w:val="en-US" w:eastAsia="en-US" w:bidi="en-US"/>
          </w:rPr>
          <w:t>§2º do art. 67 da Lei nº 14.133, de 2021</w:t>
        </w:r>
      </w:hyperlink>
      <w:r>
        <w:rPr>
          <w:rFonts w:ascii="Liberation Serif" w:hAnsi="Liberation Serif" w:eastAsia="Segoe UI"/>
          <w:i/>
          <w:iCs/>
          <w:color w:val="000000"/>
          <w:lang w:val="en-US" w:eastAsia="en-US" w:bidi="en-US"/>
        </w:rPr>
        <w:t xml:space="preserve">, “será admitida a exigência de atestados com quantidades mínimas de até 50% (cinquenta por cento) das parcelas de que trata o referido parágrafo, vedadas limitações de tempo e de locais específicos relativas aos atestados”. Além disso, registre-se que só é possível a exigência de atestado quanto às parcelas de maior relevância, entendidas essas como as que possuem valor individual igual ou superior a 4% do valor total estimado da contratação (art. 67, §1º). </w:t>
      </w:r>
    </w:p>
    <w:p>
      <w:r>
        <w:rPr>
          <w:rFonts w:ascii="Liberation Serif" w:hAnsi="Liberation Serif" w:eastAsia="Segoe UI"/>
          <w:lang w:val="en-US" w:eastAsia="en-US" w:bidi="en-US"/>
        </w:rPr>
      </w:r>
    </w:p>
    <w:p>
      <w:r>
        <w:rPr>
          <w:rFonts w:ascii="Liberation Serif" w:hAnsi="Liberation Serif" w:eastAsia="Segoe UI"/>
          <w:b/>
          <w:bCs/>
          <w:i/>
          <w:iCs/>
          <w:color w:val="000000"/>
          <w:lang w:val="en-US" w:eastAsia="en-US" w:bidi="en-US"/>
        </w:rPr>
        <w:t xml:space="preserve">Nota Explicativa 3: </w:t>
      </w:r>
      <w:r>
        <w:rPr>
          <w:rFonts w:ascii="Liberation Serif" w:hAnsi="Liberation Serif" w:eastAsia="Segoe UI"/>
          <w:i/>
          <w:iCs/>
          <w:color w:val="000000"/>
          <w:lang w:val="en-US" w:eastAsia="en-US" w:bidi="en-US"/>
        </w:rPr>
        <w:t xml:space="preserve">Os requisitos de qualificação técnica são aplicáveis a todos os </w:t>
      </w:r>
      <w:r>
        <w:rPr>
          <w:rFonts w:ascii="Liberation Serif" w:hAnsi="Liberation Serif" w:eastAsia="Segoe UI"/>
          <w:lang w:val="en-US" w:eastAsia="en-US" w:bidi="en-US"/>
        </w:rPr>
        <w:t>interessados</w:t>
      </w:r>
      <w:r>
        <w:rPr>
          <w:rFonts w:ascii="Liberation Serif" w:hAnsi="Liberation Serif" w:eastAsia="Segoe UI"/>
          <w:i/>
          <w:iCs/>
          <w:color w:val="000000"/>
          <w:lang w:val="en-US" w:eastAsia="en-US" w:bidi="en-US"/>
        </w:rPr>
        <w:t xml:space="preserve">, inclusive pessoas físicas, conforme inciso I do </w:t>
      </w:r>
      <w:hyperlink r:id="rId46">
        <w:r>
          <w:rPr>
            <w:rFonts w:ascii="Liberation Serif" w:hAnsi="Liberation Serif" w:eastAsia="Segoe UI"/>
            <w:i/>
            <w:iCs/>
            <w:color w:val="000000"/>
            <w:lang w:val="en-US" w:eastAsia="en-US" w:bidi="en-US"/>
          </w:rPr>
          <w:t>art. 5º da Instrução Normativa Seges/ME nº 116, de 2021</w:t>
        </w:r>
      </w:hyperlink>
      <w:r>
        <w:rPr>
          <w:rFonts w:ascii="Liberation Serif" w:hAnsi="Liberation Serif" w:eastAsia="Segoe UI"/>
          <w:i/>
          <w:iCs/>
          <w:color w:val="000000"/>
          <w:lang w:val="en-US" w:eastAsia="en-US" w:bidi="en-US"/>
        </w:rPr>
        <w:t>.</w:t>
      </w:r>
    </w:p>
    <w:p>
      <w:r>
        <w:rPr>
          <w:rFonts w:ascii="Liberation Serif" w:hAnsi="Liberation Serif" w:eastAsia="Segoe UI"/>
          <w:lang w:val="en-US" w:eastAsia="en-US" w:bidi="en-US"/>
        </w:rPr>
      </w:r>
    </w:p>
    <w:p>
      <w:r>
        <w:rPr>
          <w:rFonts w:ascii="Liberation Serif" w:hAnsi="Liberation Serif" w:eastAsia="Segoe UI"/>
          <w:b/>
          <w:bCs/>
          <w:i/>
          <w:iCs/>
          <w:color w:val="000000"/>
          <w:lang w:val="en-US" w:eastAsia="en-US" w:bidi="en-US"/>
        </w:rPr>
        <w:t xml:space="preserve">Nota Explicativa 4: </w:t>
      </w:r>
      <w:r>
        <w:rPr>
          <w:rFonts w:ascii="Liberation Serif" w:hAnsi="Liberation Serif" w:eastAsia="Segoe UI"/>
          <w:i/>
          <w:iCs/>
          <w:color w:val="000000"/>
          <w:lang w:val="en-US" w:eastAsia="en-US" w:bidi="en-US"/>
        </w:rPr>
        <w:t xml:space="preserve">Caso seja permitida a subcontratação de fornecimento com aspectos técnicos específicos, poderá ser admitida a apresentação de atestados relativos a potencial subcontratado, limitado a 25% do objeto licitado, conforme </w:t>
      </w:r>
      <w:hyperlink r:id="rId47">
        <w:r>
          <w:rPr>
            <w:rFonts w:ascii="Liberation Serif" w:hAnsi="Liberation Serif" w:eastAsia="Segoe UI"/>
            <w:i/>
            <w:iCs/>
            <w:color w:val="000000"/>
            <w:lang w:val="en-US" w:eastAsia="en-US" w:bidi="en-US"/>
          </w:rPr>
          <w:t>art. 67, §9º da Lei nº 14.133, de 2021.</w:t>
        </w:r>
      </w:hyperlink>
    </w:p>
    <w:p>
      <w:r>
        <w:rPr>
          <w:rFonts w:ascii="Liberation Serif" w:hAnsi="Liberation Serif" w:eastAsia="Segoe UI"/>
          <w:b/>
          <w:bCs/>
          <w:i/>
          <w:iCs/>
          <w:color w:val="000000"/>
          <w:lang w:val="en-US" w:eastAsia="en-US" w:bidi="en-US"/>
        </w:rPr>
        <w:t xml:space="preserve">Em sendo esse o caso do processo, recomenda-se inserir a seguinte disposição: </w:t>
      </w:r>
    </w:p>
    <w:p>
      <w:r>
        <w:rPr>
          <w:rFonts w:ascii="Liberation Serif" w:hAnsi="Liberation Serif" w:eastAsia="Segoe UI"/>
          <w:b/>
          <w:bCs/>
          <w:i/>
          <w:iCs/>
          <w:color w:val="000000"/>
          <w:lang w:val="en-US" w:eastAsia="en-US" w:bidi="en-US"/>
        </w:rPr>
        <w:t>"Será admitida a apresentação de atestados relativos a potencial subcontratado em relação à parcela do fornecimento de.... ..., cuja subcontratação foi expressamente autorizada no tópico pertinente."</w:t>
      </w:r>
    </w:p>
  </w:comment>
  <w:comment w:id="46"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Nesse sentido, o </w:t>
      </w:r>
      <w:hyperlink r:id="rId48">
        <w:r>
          <w:rPr>
            <w:rFonts w:ascii="Liberation Serif" w:hAnsi="Liberation Serif" w:eastAsia="Segoe UI"/>
            <w:i/>
            <w:iCs/>
            <w:color w:val="000000"/>
            <w:lang w:val="en-US" w:eastAsia="en-US" w:bidi="en-US"/>
          </w:rPr>
          <w:t>Parecer n. 00005/2021/CNMLC/CGU/AGU</w:t>
        </w:r>
      </w:hyperlink>
      <w:r>
        <w:rPr>
          <w:rFonts w:ascii="Liberation Serif" w:hAnsi="Liberation Serif" w:eastAsia="Segoe UI"/>
          <w:i/>
          <w:iCs/>
          <w:color w:val="000000"/>
          <w:lang w:val="en-US" w:eastAsia="en-US" w:bidi="en-US"/>
        </w:rPr>
        <w:t xml:space="preserve"> fixou que “se a filial pode até mesmo executar uma contratação formalizada com a matriz, não restam motivos para entender que os atestados de capacitação técnica emitidos em favor de uma não possam ser aproveitados pela outra, haja vista serem ambas rigorosamente a mesma empresa.” Vale observar que referido entendimento se inspirou na </w:t>
      </w:r>
      <w:hyperlink r:id="rId49">
        <w:r>
          <w:rPr>
            <w:rFonts w:ascii="Liberation Serif" w:hAnsi="Liberation Serif" w:eastAsia="Segoe UI"/>
            <w:i/>
            <w:iCs/>
            <w:color w:val="000000"/>
            <w:lang w:val="en-US" w:eastAsia="en-US" w:bidi="en-US"/>
          </w:rPr>
          <w:t>ORIENTAÇÃO NORMATIVA Nº 66, DE 29 DE MAIO DE 2020.</w:t>
        </w:r>
      </w:hyperlink>
    </w:p>
  </w:comment>
  <w:comment w:id="47" w:author="Autor" w:date="0-00-00T00:00:00Z" w:initials="A">
    <w:p>
      <w:r>
        <w:rPr>
          <w:rFonts w:ascii="Liberation Serif" w:hAnsi="Liberation Serif" w:eastAsia="Segoe UI"/>
          <w:b/>
          <w:bCs/>
          <w:i/>
          <w:iCs/>
          <w:color w:val="000000"/>
          <w:lang w:val="en-US" w:eastAsia="en-US" w:bidi="en-US"/>
        </w:rPr>
        <w:t xml:space="preserve">Nota Explicativa 1: </w:t>
      </w:r>
      <w:r>
        <w:rPr>
          <w:rFonts w:ascii="Liberation Serif" w:hAnsi="Liberation Serif" w:eastAsia="Segoe UI"/>
          <w:i/>
          <w:iCs/>
          <w:color w:val="000000"/>
          <w:lang w:val="en-US" w:eastAsia="en-US" w:bidi="en-US"/>
        </w:rPr>
        <w:t xml:space="preserve">Pesquisa de Preços - A estimativa de preços deve ser precedida de regular pesquisa, nos moldes do </w:t>
      </w:r>
      <w:hyperlink r:id="rId50">
        <w:r>
          <w:rPr>
            <w:rFonts w:ascii="Liberation Serif" w:hAnsi="Liberation Serif" w:eastAsia="Segoe UI"/>
            <w:i/>
            <w:iCs/>
            <w:color w:val="000000"/>
            <w:lang w:val="en-US" w:eastAsia="en-US" w:bidi="en-US"/>
          </w:rPr>
          <w:t>art. 23 da Lei nº 14.133, de 2021</w:t>
        </w:r>
      </w:hyperlink>
      <w:r>
        <w:rPr>
          <w:rFonts w:ascii="Liberation Serif" w:hAnsi="Liberation Serif" w:eastAsia="Segoe UI"/>
          <w:i/>
          <w:iCs/>
          <w:color w:val="000000"/>
          <w:lang w:val="en-US" w:eastAsia="en-US" w:bidi="en-US"/>
        </w:rPr>
        <w:t xml:space="preserve">, e da </w:t>
      </w:r>
      <w:hyperlink r:id="rId51">
        <w:r>
          <w:rPr>
            <w:rFonts w:ascii="Liberation Serif" w:hAnsi="Liberation Serif" w:eastAsia="Segoe UI"/>
            <w:i/>
            <w:iCs/>
            <w:color w:val="000000"/>
            <w:lang w:val="en-US" w:eastAsia="en-US" w:bidi="en-US"/>
          </w:rPr>
          <w:t>Instrução Normativa SEGES/ME nº 65, de 7 de julho 2021.</w:t>
        </w:r>
      </w:hyperlink>
    </w:p>
    <w:p>
      <w:r>
        <w:rPr>
          <w:rFonts w:ascii="Liberation Serif" w:hAnsi="Liberation Serif" w:eastAsia="Segoe UI"/>
          <w:lang w:val="en-US" w:eastAsia="en-US" w:bidi="en-US"/>
        </w:rPr>
      </w:r>
    </w:p>
    <w:p>
      <w:r>
        <w:rPr>
          <w:rFonts w:ascii="Liberation Serif" w:hAnsi="Liberation Serif" w:eastAsia="Segoe UI"/>
          <w:b/>
          <w:bCs/>
          <w:i/>
          <w:iCs/>
          <w:lang w:val="en-US" w:eastAsia="en-US" w:bidi="en-US"/>
        </w:rPr>
        <w:t>Nota Explicativa 2:</w:t>
      </w:r>
      <w:r>
        <w:rPr>
          <w:rFonts w:ascii="Liberation Serif" w:hAnsi="Liberation Serif" w:eastAsia="Segoe UI"/>
          <w:i/>
          <w:iCs/>
          <w:lang w:val="en-US" w:eastAsia="en-US" w:bidi="en-US"/>
        </w:rPr>
        <w:t xml:space="preserve"> Os preços unitários referenciais, as memórias de cálculo e os documentos que lhe dão suporte, com os parâmetros utilizados para a obtenção dos preços e para os respectivos cálculos, devem constar de anexo ao termo de referência,</w:t>
      </w:r>
      <w:r>
        <w:rPr>
          <w:rFonts w:ascii="Liberation Serif" w:hAnsi="Liberation Serif" w:eastAsia="Segoe UI"/>
          <w:i/>
          <w:iCs/>
          <w:color w:val="FF0000"/>
          <w:lang w:val="en-US" w:eastAsia="en-US" w:bidi="en-US"/>
        </w:rPr>
        <w:t xml:space="preserve"> </w:t>
      </w:r>
      <w:r>
        <w:rPr>
          <w:rFonts w:ascii="Liberation Serif" w:hAnsi="Liberation Serif" w:eastAsia="Segoe UI"/>
          <w:i/>
          <w:iCs/>
          <w:lang w:val="en-US" w:eastAsia="en-US" w:bidi="en-US"/>
        </w:rPr>
        <w:t xml:space="preserve">nos termos do </w:t>
      </w:r>
      <w:hyperlink r:id="rId52">
        <w:r>
          <w:rPr>
            <w:rFonts w:ascii="Liberation Serif" w:hAnsi="Liberation Serif" w:eastAsia="Segoe UI"/>
            <w:i/>
            <w:iCs/>
            <w:lang w:val="en-US" w:eastAsia="en-US" w:bidi="en-US"/>
          </w:rPr>
          <w:t>art. 9º, IX, da Instrução Normativa Seges/ME nº 81, de 2022</w:t>
        </w:r>
      </w:hyperlink>
      <w:r>
        <w:rPr>
          <w:rFonts w:ascii="Liberation Serif" w:hAnsi="Liberation Serif" w:eastAsia="Segoe UI"/>
          <w:i/>
          <w:iCs/>
          <w:lang w:val="en-US" w:eastAsia="en-US" w:bidi="en-US"/>
        </w:rPr>
        <w:t xml:space="preserve">. Caso a Administração opte por preservar o sigilo da estimativa do valor da contratação, também deverá ser preservado o sigilo desse anexo. </w:t>
      </w:r>
    </w:p>
    <w:p>
      <w:r>
        <w:rPr>
          <w:rFonts w:ascii="Liberation Serif" w:hAnsi="Liberation Serif" w:eastAsia="Segoe UI"/>
          <w:lang w:val="en-US" w:eastAsia="en-US" w:bidi="en-US"/>
        </w:rPr>
      </w:r>
    </w:p>
    <w:p>
      <w:r>
        <w:rPr>
          <w:rFonts w:ascii="Liberation Serif" w:hAnsi="Liberation Serif" w:eastAsia="Segoe UI"/>
          <w:b/>
          <w:bCs/>
          <w:i/>
          <w:iCs/>
          <w:lang w:val="en-US" w:eastAsia="en-US" w:bidi="en-US"/>
        </w:rPr>
        <w:t xml:space="preserve">Nota Explicativa 3: </w:t>
      </w:r>
      <w:r>
        <w:rPr>
          <w:rFonts w:ascii="Liberation Serif" w:hAnsi="Liberation Serif" w:eastAsia="Segoe UI"/>
          <w:i/>
          <w:iCs/>
          <w:lang w:val="en-US" w:eastAsia="en-US" w:bidi="en-US"/>
        </w:rPr>
        <w:t>Utilizar esta redação na hipótese em que for adotado o critério de julgamento por menor preço, sem caráter sigiloso.</w:t>
      </w:r>
    </w:p>
  </w:comment>
  <w:comment w:id="48" w:author="Autor" w:date="0-00-00T00:00:00Z" w:initials="A">
    <w:p>
      <w:r>
        <w:rPr>
          <w:rFonts w:ascii="Liberation Serif" w:hAnsi="Liberation Serif" w:eastAsia="Segoe UI"/>
          <w:b/>
          <w:bCs/>
          <w:i/>
          <w:iCs/>
          <w:lang w:val="en-US" w:eastAsia="en-US" w:bidi="en-US"/>
        </w:rPr>
        <w:t xml:space="preserve">Nota Explicativa: </w:t>
      </w:r>
      <w:r>
        <w:rPr>
          <w:rFonts w:ascii="Liberation Serif" w:hAnsi="Liberation Serif" w:eastAsia="Segoe UI"/>
          <w:i/>
          <w:iCs/>
          <w:lang w:val="en-US" w:eastAsia="en-US" w:bidi="en-US"/>
        </w:rPr>
        <w:t>Segundo o art. 7º, §§ 4º e 5º, da Instrução Normativa SEGES/ME n.º 65, de 2021, na hipótese de dispensa de licitação com base nos incisos I e II do art. 75 da Lei nº 14.133, de 2021 (contratações de pequeno valor), a estimativa de preços da contratação poderá ser realizada concomitantemente à seleção da proposta economicamente mais vantajosa, por meio de solicitação formal de cotações a fornecedores.</w:t>
      </w:r>
    </w:p>
  </w:comment>
  <w:comment w:id="49"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w:t>
      </w:r>
      <w:r>
        <w:rPr>
          <w:rFonts w:ascii="Liberation Serif" w:hAnsi="Liberation Serif" w:eastAsia="Segoe UI"/>
          <w:i/>
          <w:iCs/>
          <w:color w:val="000000"/>
          <w:lang w:val="en-US" w:eastAsia="en-US" w:bidi="en-US"/>
        </w:rPr>
        <w:t>Em caso de utilização de matriz de alocação de risco, o custo estimado da contratação deve levar em consideração o conjunto de riscos alocados ao contratado, o que naturalmente implicará elevação no custo da contratação (cf. art. 22, caput, e art. 103, §3º, ambos da Lei n. 14.133, de 2021).</w:t>
      </w:r>
    </w:p>
  </w:comment>
  <w:comment w:id="50" w:author="Autor" w:date="0-00-00T00:00:00Z" w:initials="A">
    <w:p>
      <w:r>
        <w:rPr>
          <w:rFonts w:ascii="Liberation Serif" w:hAnsi="Liberation Serif" w:eastAsia="Segoe UI"/>
          <w:b/>
          <w:bCs/>
          <w:i/>
          <w:iCs/>
          <w:lang w:val="en-US" w:eastAsia="en-US" w:bidi="en-US"/>
        </w:rPr>
        <w:t xml:space="preserve">Nota Explicativa: </w:t>
      </w:r>
      <w:r>
        <w:rPr>
          <w:rFonts w:ascii="Liberation Serif" w:hAnsi="Liberation Serif" w:eastAsia="Segoe UI"/>
          <w:i/>
          <w:iCs/>
          <w:lang w:val="en-US" w:eastAsia="en-US" w:bidi="en-US"/>
        </w:rPr>
        <w:t>Utilizar o item acima caso se adote o Sistema de Registro de Preços – SRP, conforme Orientação Normativa AGU nº 20, de 2009, segundo a qual: “NA LICITAÇÃO PARA REGISTRO DE PREÇOS, A INDICAÇÃO DA DOTAÇÃO ORÇAMENTÁRIA É EXIGÍVEL APENAS ANTES DA ASSINATURA DO CONTRATO". (Redação mantida pela Portaria AGU n.º 575, de 16 de dezembro de 2024).</w:t>
      </w:r>
    </w:p>
  </w:comment>
  <w:comment w:id="51"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O presente anexo deverá ser adotado para colher a concordância do contratado com as regras e obrigações da contratação previstas no Termo de Referência e em seu anexo, </w:t>
      </w:r>
      <w:r>
        <w:rPr>
          <w:rFonts w:ascii="Liberation Serif" w:hAnsi="Liberation Serif" w:eastAsia="Segoe UI"/>
          <w:b/>
          <w:bCs/>
          <w:i/>
          <w:iCs/>
          <w:lang w:val="en-US" w:eastAsia="en-US" w:bidi="en-US"/>
        </w:rPr>
        <w:t>em caso de substituição do termo de contrato por instrumento equivalente</w:t>
      </w:r>
      <w:r>
        <w:rPr>
          <w:rFonts w:ascii="Liberation Serif" w:hAnsi="Liberation Serif" w:eastAsia="Segoe UI"/>
          <w:i/>
          <w:iCs/>
          <w:lang w:val="en-US" w:eastAsia="en-US" w:bidi="en-US"/>
        </w:rPr>
        <w:t xml:space="preserve">, na forma do art. 95, incisos I e II, da Lei n.º 14.133, de 2021, com a interpretação conferida pela Orientação Normativa AGU n.º 84, de 2024. </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Arial">
    <w:charset w:val="00"/>
    <w:family w:val="roman"/>
    <w:pitch w:val="variable"/>
  </w:font>
  <w:font w:name="Calibri">
    <w:charset w:val="00"/>
    <w:family w:val="roman"/>
    <w:pitch w:val="variable"/>
  </w:font>
  <w:font w:name="Tahoma">
    <w:charset w:val="00"/>
    <w:family w:val="roman"/>
    <w:pitch w:val="variable"/>
  </w:font>
  <w:font w:name="Segoe UI">
    <w:charset w:val="00"/>
    <w:family w:val="roman"/>
    <w:pitch w:val="variable"/>
  </w:font>
  <w:font w:name="Liberation Sans">
    <w:altName w:val="Arial"/>
    <w:charset w:val="00"/>
    <w:family w:val="roman"/>
    <w:pitch w:val="variable"/>
  </w:font>
  <w:font w:name="Carlito">
    <w:altName w:val="Calibr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Gallery w:val="Page Numbers (Bottom of Page)"/>
        <w:docPartUnique w:val="true"/>
      </w:docPartObj>
      <w:id w:val="1409000448"/>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rFonts w:ascii="Arial" w:hAnsi="Arial"/>
            <w:color w:val="7F7F7F" w:themeColor="text1" w:themeTint="80"/>
            <w:sz w:val="18"/>
          </w:rPr>
        </w:pPr>
        <w:r>
          <w:rPr>
            <w:color w:val="7F7F7F" w:themeColor="text1" w:themeTint="80"/>
            <w:spacing w:val="60"/>
            <w:sz w:val="22"/>
            <w:szCs w:val="22"/>
          </w:rPr>
          <w:tab/>
          <w:tab/>
        </w:r>
        <w:r>
          <w:rPr>
            <w:rFonts w:ascii="Arial" w:hAnsi="Arial"/>
            <w:color w:val="595959" w:themeColor="text1" w:themeTint="a6"/>
            <w:spacing w:val="60"/>
            <w:sz w:val="18"/>
          </w:rPr>
          <w:t>Página</w:t>
        </w:r>
        <w:r>
          <w:rPr>
            <w:rFonts w:ascii="Arial" w:hAnsi="Arial"/>
            <w:color w:val="595959" w:themeColor="text1" w:themeTint="a6"/>
            <w:sz w:val="18"/>
          </w:rPr>
          <w:t xml:space="preserve"> </w:t>
        </w:r>
        <w:r>
          <w:rPr>
            <w:rFonts w:ascii="Arial" w:hAnsi="Arial"/>
            <w:color w:val="595959"/>
            <w:sz w:val="18"/>
          </w:rPr>
          <w:fldChar w:fldCharType="begin"/>
        </w:r>
        <w:r>
          <w:rPr>
            <w:sz w:val="18"/>
            <w:rFonts w:ascii="Arial" w:hAnsi="Arial"/>
            <w:color w:val="595959"/>
          </w:rPr>
          <w:instrText> PAGE </w:instrText>
        </w:r>
        <w:r>
          <w:rPr>
            <w:sz w:val="18"/>
            <w:rFonts w:ascii="Arial" w:hAnsi="Arial"/>
            <w:color w:val="595959"/>
          </w:rPr>
          <w:fldChar w:fldCharType="separate"/>
        </w:r>
        <w:r>
          <w:rPr>
            <w:sz w:val="18"/>
            <w:rFonts w:ascii="Arial" w:hAnsi="Arial"/>
            <w:color w:val="595959"/>
          </w:rPr>
          <w:t>23</w:t>
        </w:r>
        <w:r>
          <w:rPr>
            <w:sz w:val="18"/>
            <w:rFonts w:ascii="Arial" w:hAnsi="Arial"/>
            <w:color w:val="595959"/>
          </w:rPr>
          <w:fldChar w:fldCharType="end"/>
        </w:r>
        <w:r>
          <w:rPr>
            <w:rFonts w:ascii="Arial" w:hAnsi="Arial"/>
            <w:color w:val="595959" w:themeColor="text1" w:themeTint="a6"/>
            <w:sz w:val="18"/>
          </w:rPr>
          <w:t xml:space="preserve"> | </w:t>
        </w:r>
        <w:r>
          <w:rPr>
            <w:rFonts w:ascii="Arial" w:hAnsi="Arial"/>
            <w:color w:val="595959"/>
            <w:sz w:val="18"/>
          </w:rPr>
          <w:fldChar w:fldCharType="begin"/>
        </w:r>
        <w:r>
          <w:rPr>
            <w:sz w:val="18"/>
            <w:rFonts w:ascii="Arial" w:hAnsi="Arial"/>
            <w:color w:val="595959"/>
          </w:rPr>
          <w:instrText> NUMPAGES </w:instrText>
        </w:r>
        <w:r>
          <w:rPr>
            <w:sz w:val="18"/>
            <w:rFonts w:ascii="Arial" w:hAnsi="Arial"/>
            <w:color w:val="595959"/>
          </w:rPr>
          <w:fldChar w:fldCharType="separate"/>
        </w:r>
        <w:r>
          <w:rPr>
            <w:sz w:val="18"/>
            <w:rFonts w:ascii="Arial" w:hAnsi="Arial"/>
            <w:color w:val="595959"/>
          </w:rPr>
          <w:t>23</w:t>
        </w:r>
        <w:r>
          <w:rPr>
            <w:sz w:val="18"/>
            <w:rFonts w:ascii="Arial" w:hAnsi="Arial"/>
            <w:color w:val="595959"/>
          </w:rPr>
          <w:fldChar w:fldCharType="end"/>
        </w:r>
      </w:p>
      <w:p>
        <w:pPr>
          <w:pStyle w:val="Rodap"/>
          <w:rPr>
            <w:rFonts w:ascii="Arial" w:hAnsi="Arial"/>
            <w:sz w:val="14"/>
          </w:rPr>
        </w:pPr>
        <w:r>
          <w:rPr>
            <w:rFonts w:ascii="Arial" w:hAnsi="Arial"/>
            <w:sz w:val="14"/>
          </w:rPr>
          <w:t>Câmara Nacional de Modelos de Licitações e Contratos da Consultoria-Geral da União</w:t>
        </w:r>
      </w:p>
      <w:p>
        <w:pPr>
          <w:pStyle w:val="Rodap"/>
          <w:rPr>
            <w:rFonts w:ascii="Arial" w:hAnsi="Arial"/>
            <w:color w:val="0F243E" w:themeColor="text2" w:themeShade="80"/>
            <w:sz w:val="14"/>
          </w:rPr>
        </w:pPr>
        <w:r>
          <w:rPr>
            <w:rFonts w:cs="Arial" w:ascii="Arial" w:hAnsi="Arial"/>
            <w:sz w:val="14"/>
            <w:szCs w:val="14"/>
          </w:rPr>
          <w:t xml:space="preserve">Modelo de </w:t>
        </w:r>
        <w:r>
          <w:rPr>
            <w:rFonts w:ascii="Arial" w:hAnsi="Arial"/>
            <w:sz w:val="14"/>
          </w:rPr>
          <w:t xml:space="preserve">Termo de Referência – Aquisições </w:t>
        </w:r>
        <w:r>
          <w:rPr>
            <w:rFonts w:cs="Arial" w:ascii="Arial" w:hAnsi="Arial"/>
            <w:sz w:val="14"/>
            <w:szCs w:val="14"/>
          </w:rPr>
          <w:t>– Licitação e Contratação Direta - Lei nº 14.133, de 2021</w:t>
        </w:r>
      </w:p>
      <w:p>
        <w:pPr>
          <w:pStyle w:val="Rodap"/>
          <w:rPr>
            <w:rFonts w:ascii="Arial" w:hAnsi="Arial"/>
            <w:sz w:val="14"/>
          </w:rPr>
        </w:pPr>
        <w:r>
          <w:rPr>
            <w:rFonts w:ascii="Arial" w:hAnsi="Arial"/>
            <w:sz w:val="14"/>
          </w:rPr>
          <w:t>Aprovado pela Secretaria de Gestão</w:t>
        </w:r>
        <w:r>
          <w:rPr>
            <w:rFonts w:cs="Arial" w:ascii="Arial" w:hAnsi="Arial"/>
            <w:sz w:val="14"/>
            <w:szCs w:val="14"/>
          </w:rPr>
          <w:t xml:space="preserve"> e Inovação</w:t>
        </w:r>
      </w:p>
      <w:p>
        <w:pPr>
          <w:pStyle w:val="Rodap"/>
          <w:rPr>
            <w:rFonts w:ascii="Arial" w:hAnsi="Arial"/>
            <w:sz w:val="14"/>
          </w:rPr>
        </w:pPr>
        <w:r>
          <w:rPr>
            <w:rFonts w:ascii="Arial" w:hAnsi="Arial"/>
            <w:sz w:val="14"/>
          </w:rPr>
          <w:t xml:space="preserve">Identidade visual pela Secretaria de Gestão </w:t>
        </w:r>
        <w:r>
          <w:rPr>
            <w:rFonts w:cs="Arial" w:ascii="Arial" w:hAnsi="Arial"/>
            <w:sz w:val="14"/>
            <w:szCs w:val="14"/>
          </w:rPr>
          <w:t>e Inovação</w:t>
        </w:r>
      </w:p>
      <w:p>
        <w:pPr>
          <w:pStyle w:val="Rodap"/>
          <w:rPr>
            <w:rFonts w:ascii="Arial" w:hAnsi="Arial"/>
            <w:sz w:val="14"/>
          </w:rPr>
        </w:pPr>
        <w:r>
          <w:rPr>
            <w:rFonts w:cs="Arial" w:ascii="Arial" w:hAnsi="Arial"/>
            <w:sz w:val="14"/>
            <w:szCs w:val="14"/>
          </w:rPr>
          <w:t>Atualização: DEZ/2025</w:t>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Gallery w:val="Page Numbers (Bottom of Page)"/>
        <w:docPartUnique w:val="true"/>
      </w:docPartObj>
      <w:id w:val="877574899"/>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rFonts w:ascii="Arial" w:hAnsi="Arial"/>
            <w:color w:val="7F7F7F" w:themeColor="text1" w:themeTint="80"/>
            <w:sz w:val="18"/>
          </w:rPr>
        </w:pPr>
        <w:r>
          <w:rPr>
            <w:color w:val="7F7F7F" w:themeColor="text1" w:themeTint="80"/>
            <w:spacing w:val="60"/>
            <w:sz w:val="22"/>
            <w:szCs w:val="22"/>
          </w:rPr>
          <w:tab/>
          <w:tab/>
        </w:r>
        <w:r>
          <w:rPr>
            <w:rFonts w:ascii="Arial" w:hAnsi="Arial"/>
            <w:color w:val="595959" w:themeColor="text1" w:themeTint="a6"/>
            <w:spacing w:val="60"/>
            <w:sz w:val="18"/>
          </w:rPr>
          <w:t>Página</w:t>
        </w:r>
        <w:r>
          <w:rPr>
            <w:rFonts w:ascii="Arial" w:hAnsi="Arial"/>
            <w:color w:val="595959" w:themeColor="text1" w:themeTint="a6"/>
            <w:sz w:val="18"/>
          </w:rPr>
          <w:t xml:space="preserve"> </w:t>
        </w:r>
        <w:r>
          <w:rPr>
            <w:rFonts w:ascii="Arial" w:hAnsi="Arial"/>
            <w:color w:val="595959"/>
            <w:sz w:val="18"/>
          </w:rPr>
          <w:fldChar w:fldCharType="begin"/>
        </w:r>
        <w:r>
          <w:rPr>
            <w:sz w:val="18"/>
            <w:rFonts w:ascii="Arial" w:hAnsi="Arial"/>
            <w:color w:val="595959"/>
          </w:rPr>
          <w:instrText> PAGE </w:instrText>
        </w:r>
        <w:r>
          <w:rPr>
            <w:sz w:val="18"/>
            <w:rFonts w:ascii="Arial" w:hAnsi="Arial"/>
            <w:color w:val="595959"/>
          </w:rPr>
          <w:fldChar w:fldCharType="separate"/>
        </w:r>
        <w:r>
          <w:rPr>
            <w:sz w:val="18"/>
            <w:rFonts w:ascii="Arial" w:hAnsi="Arial"/>
            <w:color w:val="595959"/>
          </w:rPr>
          <w:t>23</w:t>
        </w:r>
        <w:r>
          <w:rPr>
            <w:sz w:val="18"/>
            <w:rFonts w:ascii="Arial" w:hAnsi="Arial"/>
            <w:color w:val="595959"/>
          </w:rPr>
          <w:fldChar w:fldCharType="end"/>
        </w:r>
        <w:r>
          <w:rPr>
            <w:rFonts w:ascii="Arial" w:hAnsi="Arial"/>
            <w:color w:val="595959" w:themeColor="text1" w:themeTint="a6"/>
            <w:sz w:val="18"/>
          </w:rPr>
          <w:t xml:space="preserve"> | </w:t>
        </w:r>
        <w:r>
          <w:rPr>
            <w:rFonts w:ascii="Arial" w:hAnsi="Arial"/>
            <w:color w:val="595959"/>
            <w:sz w:val="18"/>
          </w:rPr>
          <w:fldChar w:fldCharType="begin"/>
        </w:r>
        <w:r>
          <w:rPr>
            <w:sz w:val="18"/>
            <w:rFonts w:ascii="Arial" w:hAnsi="Arial"/>
            <w:color w:val="595959"/>
          </w:rPr>
          <w:instrText> NUMPAGES </w:instrText>
        </w:r>
        <w:r>
          <w:rPr>
            <w:sz w:val="18"/>
            <w:rFonts w:ascii="Arial" w:hAnsi="Arial"/>
            <w:color w:val="595959"/>
          </w:rPr>
          <w:fldChar w:fldCharType="separate"/>
        </w:r>
        <w:r>
          <w:rPr>
            <w:sz w:val="18"/>
            <w:rFonts w:ascii="Arial" w:hAnsi="Arial"/>
            <w:color w:val="595959"/>
          </w:rPr>
          <w:t>23</w:t>
        </w:r>
        <w:r>
          <w:rPr>
            <w:sz w:val="18"/>
            <w:rFonts w:ascii="Arial" w:hAnsi="Arial"/>
            <w:color w:val="595959"/>
          </w:rPr>
          <w:fldChar w:fldCharType="end"/>
        </w:r>
      </w:p>
      <w:p>
        <w:pPr>
          <w:pStyle w:val="Rodap"/>
          <w:rPr>
            <w:rFonts w:ascii="Arial" w:hAnsi="Arial"/>
            <w:sz w:val="14"/>
          </w:rPr>
        </w:pPr>
        <w:r>
          <w:rPr>
            <w:rFonts w:ascii="Arial" w:hAnsi="Arial"/>
            <w:sz w:val="14"/>
          </w:rPr>
          <w:t>Câmara Nacional de Modelos de Licitações e Contratos da Consultoria-Geral da União</w:t>
        </w:r>
      </w:p>
      <w:p>
        <w:pPr>
          <w:pStyle w:val="Rodap"/>
          <w:rPr>
            <w:rFonts w:ascii="Arial" w:hAnsi="Arial"/>
            <w:color w:val="0F243E" w:themeColor="text2" w:themeShade="80"/>
            <w:sz w:val="14"/>
          </w:rPr>
        </w:pPr>
        <w:r>
          <w:rPr>
            <w:rFonts w:cs="Arial" w:ascii="Arial" w:hAnsi="Arial"/>
            <w:sz w:val="14"/>
            <w:szCs w:val="14"/>
          </w:rPr>
          <w:t xml:space="preserve">Modelo de </w:t>
        </w:r>
        <w:r>
          <w:rPr>
            <w:rFonts w:ascii="Arial" w:hAnsi="Arial"/>
            <w:sz w:val="14"/>
          </w:rPr>
          <w:t xml:space="preserve">Termo de Referência – Aquisições </w:t>
        </w:r>
        <w:r>
          <w:rPr>
            <w:rFonts w:cs="Arial" w:ascii="Arial" w:hAnsi="Arial"/>
            <w:sz w:val="14"/>
            <w:szCs w:val="14"/>
          </w:rPr>
          <w:t>– Licitação e Contratação Direta - Lei nº 14.133, de 2021</w:t>
        </w:r>
      </w:p>
      <w:p>
        <w:pPr>
          <w:pStyle w:val="Rodap"/>
          <w:rPr>
            <w:rFonts w:ascii="Arial" w:hAnsi="Arial"/>
            <w:sz w:val="14"/>
          </w:rPr>
        </w:pPr>
        <w:r>
          <w:rPr>
            <w:rFonts w:ascii="Arial" w:hAnsi="Arial"/>
            <w:sz w:val="14"/>
          </w:rPr>
          <w:t>Aprovado pela Secretaria de Gestão</w:t>
        </w:r>
        <w:r>
          <w:rPr>
            <w:rFonts w:cs="Arial" w:ascii="Arial" w:hAnsi="Arial"/>
            <w:sz w:val="14"/>
            <w:szCs w:val="14"/>
          </w:rPr>
          <w:t xml:space="preserve"> e Inovação</w:t>
        </w:r>
      </w:p>
      <w:p>
        <w:pPr>
          <w:pStyle w:val="Rodap"/>
          <w:rPr>
            <w:rFonts w:ascii="Arial" w:hAnsi="Arial"/>
            <w:sz w:val="14"/>
          </w:rPr>
        </w:pPr>
        <w:r>
          <w:rPr>
            <w:rFonts w:ascii="Arial" w:hAnsi="Arial"/>
            <w:sz w:val="14"/>
          </w:rPr>
          <w:t xml:space="preserve">Identidade visual pela Secretaria de Gestão </w:t>
        </w:r>
        <w:r>
          <w:rPr>
            <w:rFonts w:cs="Arial" w:ascii="Arial" w:hAnsi="Arial"/>
            <w:sz w:val="14"/>
            <w:szCs w:val="14"/>
          </w:rPr>
          <w:t>e Inovação</w:t>
        </w:r>
      </w:p>
      <w:p>
        <w:pPr>
          <w:pStyle w:val="Rodap"/>
          <w:rPr>
            <w:rFonts w:ascii="Arial" w:hAnsi="Arial"/>
            <w:sz w:val="14"/>
          </w:rPr>
        </w:pPr>
        <w:r>
          <w:rPr>
            <w:rFonts w:cs="Arial" w:ascii="Arial" w:hAnsi="Arial"/>
            <w:sz w:val="14"/>
            <w:szCs w:val="14"/>
          </w:rPr>
          <w:t>Atualização: DEZ/2025</w:t>
        </w:r>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Ttulo1"/>
      <w:numFmt w:val="decimal"/>
      <w:lvlText w:val="%1."/>
      <w:lvlJc w:val="left"/>
      <w:pPr>
        <w:tabs>
          <w:tab w:val="num" w:pos="0"/>
        </w:tabs>
        <w:ind w:left="360" w:hanging="360"/>
      </w:pPr>
      <w:rPr>
        <w:b/>
      </w:rPr>
    </w:lvl>
    <w:lvl w:ilvl="1">
      <w:start w:val="1"/>
      <w:pStyle w:val="Ttulo2"/>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upperRoman"/>
      <w:lvlText w:val="%1)"/>
      <w:lvlJc w:val="left"/>
      <w:pPr>
        <w:tabs>
          <w:tab w:val="num" w:pos="0"/>
        </w:tabs>
        <w:ind w:left="3555" w:hanging="720"/>
      </w:pPr>
    </w:lvl>
    <w:lvl w:ilvl="1">
      <w:start w:val="1"/>
      <w:numFmt w:val="lowerLetter"/>
      <w:lvlText w:val="%2."/>
      <w:lvlJc w:val="left"/>
      <w:pPr>
        <w:tabs>
          <w:tab w:val="num" w:pos="0"/>
        </w:tabs>
        <w:ind w:left="3915" w:hanging="360"/>
      </w:pPr>
    </w:lvl>
    <w:lvl w:ilvl="2">
      <w:start w:val="1"/>
      <w:numFmt w:val="lowerRoman"/>
      <w:lvlText w:val="%3."/>
      <w:lvlJc w:val="right"/>
      <w:pPr>
        <w:tabs>
          <w:tab w:val="num" w:pos="0"/>
        </w:tabs>
        <w:ind w:left="4635" w:hanging="180"/>
      </w:pPr>
    </w:lvl>
    <w:lvl w:ilvl="3">
      <w:start w:val="1"/>
      <w:numFmt w:val="decimal"/>
      <w:lvlText w:val="%4."/>
      <w:lvlJc w:val="left"/>
      <w:pPr>
        <w:tabs>
          <w:tab w:val="num" w:pos="0"/>
        </w:tabs>
        <w:ind w:left="5355" w:hanging="360"/>
      </w:pPr>
    </w:lvl>
    <w:lvl w:ilvl="4">
      <w:start w:val="1"/>
      <w:numFmt w:val="lowerLetter"/>
      <w:lvlText w:val="%5."/>
      <w:lvlJc w:val="left"/>
      <w:pPr>
        <w:tabs>
          <w:tab w:val="num" w:pos="0"/>
        </w:tabs>
        <w:ind w:left="6075" w:hanging="360"/>
      </w:pPr>
    </w:lvl>
    <w:lvl w:ilvl="5">
      <w:start w:val="1"/>
      <w:numFmt w:val="lowerRoman"/>
      <w:lvlText w:val="%6."/>
      <w:lvlJc w:val="right"/>
      <w:pPr>
        <w:tabs>
          <w:tab w:val="num" w:pos="0"/>
        </w:tabs>
        <w:ind w:left="6795" w:hanging="180"/>
      </w:pPr>
    </w:lvl>
    <w:lvl w:ilvl="6">
      <w:start w:val="1"/>
      <w:numFmt w:val="decimal"/>
      <w:lvlText w:val="%7."/>
      <w:lvlJc w:val="left"/>
      <w:pPr>
        <w:tabs>
          <w:tab w:val="num" w:pos="0"/>
        </w:tabs>
        <w:ind w:left="7515" w:hanging="360"/>
      </w:pPr>
    </w:lvl>
    <w:lvl w:ilvl="7">
      <w:start w:val="1"/>
      <w:numFmt w:val="lowerLetter"/>
      <w:lvlText w:val="%8."/>
      <w:lvlJc w:val="left"/>
      <w:pPr>
        <w:tabs>
          <w:tab w:val="num" w:pos="0"/>
        </w:tabs>
        <w:ind w:left="8235" w:hanging="360"/>
      </w:pPr>
    </w:lvl>
    <w:lvl w:ilvl="8">
      <w:start w:val="1"/>
      <w:numFmt w:val="lowerRoman"/>
      <w:lvlText w:val="%9."/>
      <w:lvlJc w:val="right"/>
      <w:pPr>
        <w:tabs>
          <w:tab w:val="num" w:pos="0"/>
        </w:tabs>
        <w:ind w:left="8955" w:hanging="180"/>
      </w:pPr>
    </w:lvl>
  </w:abstractNum>
  <w:abstractNum w:abstractNumId="4">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lvl w:ilvl="0">
      <w:start w:val="1"/>
      <w:numFmt w:val="decimal"/>
      <w:lvlText w:val="%1."/>
      <w:lvlJc w:val="left"/>
      <w:pPr>
        <w:tabs>
          <w:tab w:val="num" w:pos="0"/>
        </w:tabs>
        <w:ind w:left="1495" w:hanging="360"/>
      </w:pPr>
      <w:rPr>
        <w:sz w:val="24"/>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7">
    <w:lvl w:ilvl="0">
      <w:start w:val="1"/>
      <w:numFmt w:val="lowerLetter"/>
      <w:lvlText w:val="%1)"/>
      <w:lvlJc w:val="left"/>
      <w:pPr>
        <w:tabs>
          <w:tab w:val="num" w:pos="0"/>
        </w:tabs>
        <w:ind w:left="2130" w:hanging="360"/>
      </w:pPr>
    </w:lvl>
    <w:lvl w:ilvl="1">
      <w:start w:val="1"/>
      <w:numFmt w:val="lowerLetter"/>
      <w:lvlText w:val="%2."/>
      <w:lvlJc w:val="left"/>
      <w:pPr>
        <w:tabs>
          <w:tab w:val="num" w:pos="0"/>
        </w:tabs>
        <w:ind w:left="2850" w:hanging="360"/>
      </w:pPr>
    </w:lvl>
    <w:lvl w:ilvl="2">
      <w:start w:val="1"/>
      <w:numFmt w:val="lowerRoman"/>
      <w:lvlText w:val="%3."/>
      <w:lvlJc w:val="right"/>
      <w:pPr>
        <w:tabs>
          <w:tab w:val="num" w:pos="0"/>
        </w:tabs>
        <w:ind w:left="3570" w:hanging="180"/>
      </w:pPr>
    </w:lvl>
    <w:lvl w:ilvl="3">
      <w:start w:val="1"/>
      <w:numFmt w:val="decimal"/>
      <w:lvlText w:val="%4."/>
      <w:lvlJc w:val="left"/>
      <w:pPr>
        <w:tabs>
          <w:tab w:val="num" w:pos="0"/>
        </w:tabs>
        <w:ind w:left="4290" w:hanging="360"/>
      </w:pPr>
    </w:lvl>
    <w:lvl w:ilvl="4">
      <w:start w:val="1"/>
      <w:numFmt w:val="lowerLetter"/>
      <w:lvlText w:val="%5."/>
      <w:lvlJc w:val="left"/>
      <w:pPr>
        <w:tabs>
          <w:tab w:val="num" w:pos="0"/>
        </w:tabs>
        <w:ind w:left="5010" w:hanging="360"/>
      </w:pPr>
    </w:lvl>
    <w:lvl w:ilvl="5">
      <w:start w:val="1"/>
      <w:numFmt w:val="lowerRoman"/>
      <w:lvlText w:val="%6."/>
      <w:lvlJc w:val="right"/>
      <w:pPr>
        <w:tabs>
          <w:tab w:val="num" w:pos="0"/>
        </w:tabs>
        <w:ind w:left="5730" w:hanging="180"/>
      </w:pPr>
    </w:lvl>
    <w:lvl w:ilvl="6">
      <w:start w:val="1"/>
      <w:numFmt w:val="decimal"/>
      <w:lvlText w:val="%7."/>
      <w:lvlJc w:val="left"/>
      <w:pPr>
        <w:tabs>
          <w:tab w:val="num" w:pos="0"/>
        </w:tabs>
        <w:ind w:left="6450" w:hanging="360"/>
      </w:pPr>
    </w:lvl>
    <w:lvl w:ilvl="7">
      <w:start w:val="1"/>
      <w:numFmt w:val="lowerLetter"/>
      <w:lvlText w:val="%8."/>
      <w:lvlJc w:val="left"/>
      <w:pPr>
        <w:tabs>
          <w:tab w:val="num" w:pos="0"/>
        </w:tabs>
        <w:ind w:left="7170" w:hanging="360"/>
      </w:pPr>
    </w:lvl>
    <w:lvl w:ilvl="8">
      <w:start w:val="1"/>
      <w:numFmt w:val="lowerRoman"/>
      <w:lvlText w:val="%9."/>
      <w:lvlJc w:val="right"/>
      <w:pPr>
        <w:tabs>
          <w:tab w:val="num" w:pos="0"/>
        </w:tabs>
        <w:ind w:left="7890" w:hanging="180"/>
      </w:pPr>
    </w:lvl>
  </w:abstractNum>
  <w:abstractNum w:abstractNumId="8">
    <w:lvl w:ilvl="0">
      <w:start w:val="7"/>
      <w:numFmt w:val="decimal"/>
      <w:lvlText w:val="%1"/>
      <w:lvlJc w:val="left"/>
      <w:pPr>
        <w:tabs>
          <w:tab w:val="num" w:pos="0"/>
        </w:tabs>
        <w:ind w:left="790" w:hanging="790"/>
      </w:pPr>
    </w:lvl>
    <w:lvl w:ilvl="1">
      <w:start w:val="2"/>
      <w:numFmt w:val="decimal"/>
      <w:lvlText w:val="%1.%2"/>
      <w:lvlJc w:val="left"/>
      <w:pPr>
        <w:tabs>
          <w:tab w:val="num" w:pos="0"/>
        </w:tabs>
        <w:ind w:left="931" w:hanging="790"/>
      </w:pPr>
    </w:lvl>
    <w:lvl w:ilvl="2">
      <w:start w:val="4"/>
      <w:numFmt w:val="decimal"/>
      <w:lvlText w:val="%1.%2.%3"/>
      <w:lvlJc w:val="left"/>
      <w:pPr>
        <w:tabs>
          <w:tab w:val="num" w:pos="0"/>
        </w:tabs>
        <w:ind w:left="1072" w:hanging="790"/>
      </w:pPr>
    </w:lvl>
    <w:lvl w:ilvl="3">
      <w:start w:val="2"/>
      <w:numFmt w:val="decimal"/>
      <w:lvlText w:val="%1.%2.%3.%4"/>
      <w:lvlJc w:val="left"/>
      <w:pPr>
        <w:tabs>
          <w:tab w:val="num" w:pos="0"/>
        </w:tabs>
        <w:ind w:left="1213" w:hanging="790"/>
      </w:pPr>
    </w:lvl>
    <w:lvl w:ilvl="4">
      <w:start w:val="1"/>
      <w:numFmt w:val="decimal"/>
      <w:lvlText w:val="%1.%2.%3.%4.%5"/>
      <w:lvlJc w:val="left"/>
      <w:pPr>
        <w:tabs>
          <w:tab w:val="num" w:pos="0"/>
        </w:tabs>
        <w:ind w:left="1644" w:hanging="1080"/>
      </w:pPr>
    </w:lvl>
    <w:lvl w:ilvl="5">
      <w:start w:val="1"/>
      <w:numFmt w:val="decimal"/>
      <w:lvlText w:val="%1.%2.%3.%4.%5.%6"/>
      <w:lvlJc w:val="left"/>
      <w:pPr>
        <w:tabs>
          <w:tab w:val="num" w:pos="0"/>
        </w:tabs>
        <w:ind w:left="1785" w:hanging="1080"/>
      </w:pPr>
    </w:lvl>
    <w:lvl w:ilvl="6">
      <w:start w:val="1"/>
      <w:numFmt w:val="decimal"/>
      <w:lvlText w:val="%1.%2.%3.%4.%5.%6.%7"/>
      <w:lvlJc w:val="left"/>
      <w:pPr>
        <w:tabs>
          <w:tab w:val="num" w:pos="0"/>
        </w:tabs>
        <w:ind w:left="2286" w:hanging="1440"/>
      </w:pPr>
    </w:lvl>
    <w:lvl w:ilvl="7">
      <w:start w:val="1"/>
      <w:numFmt w:val="decimal"/>
      <w:lvlText w:val="%1.%2.%3.%4.%5.%6.%7.%8"/>
      <w:lvlJc w:val="left"/>
      <w:pPr>
        <w:tabs>
          <w:tab w:val="num" w:pos="0"/>
        </w:tabs>
        <w:ind w:left="2427" w:hanging="1440"/>
      </w:pPr>
    </w:lvl>
    <w:lvl w:ilvl="8">
      <w:start w:val="1"/>
      <w:numFmt w:val="decimal"/>
      <w:lvlText w:val="%1.%2.%3.%4.%5.%6.%7.%8.%9"/>
      <w:lvlJc w:val="left"/>
      <w:pPr>
        <w:tabs>
          <w:tab w:val="num" w:pos="0"/>
        </w:tabs>
        <w:ind w:left="2928" w:hanging="1800"/>
      </w:pPr>
    </w:lvl>
  </w:abstractNum>
  <w:abstractNum w:abstractNumId="9">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10">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11">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12">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13">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14">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15">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16">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17">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18">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19">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20">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21">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22">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23">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24">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25">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26">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27">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28">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29">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30">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31">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32">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33">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34">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35">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36">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37">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38">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39">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40">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41">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42">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43">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44">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45">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46">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47">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48">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49">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50">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51">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52">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53">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54">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55">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56">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57">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58">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59">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60">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61">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val="000000" w:themeColor="text1"/>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4"/>
  </w:num>
  <w:num w:numId="63">
    <w:abstractNumId w:val="4"/>
  </w:num>
  <w:num w:numId="64">
    <w:abstractNumId w:val="4"/>
  </w:num>
  <w:num w:numId="65">
    <w:abstractNumId w:val="4"/>
  </w:num>
  <w:num w:numId="66">
    <w:abstractNumId w:val="4"/>
  </w:num>
  <w:num w:numId="67">
    <w:abstractNumId w:val="4"/>
  </w:num>
  <w:num w:numId="68">
    <w:abstractNumId w:val="4"/>
  </w:num>
  <w:num w:numId="69">
    <w:abstractNumId w:val="4"/>
  </w:num>
  <w:num w:numId="70">
    <w:abstractNumId w:val="4"/>
  </w:num>
  <w:num w:numId="71">
    <w:abstractNumId w:val="4"/>
  </w:num>
  <w:num w:numId="72">
    <w:abstractNumId w:val="4"/>
  </w:num>
  <w:num w:numId="73">
    <w:abstractNumId w:val="4"/>
  </w:num>
  <w:num w:numId="74">
    <w:abstractNumId w:val="4"/>
  </w:num>
  <w:num w:numId="75">
    <w:abstractNumId w:val="4"/>
  </w:num>
  <w:num w:numId="76">
    <w:abstractNumId w:val="4"/>
  </w:num>
  <w:num w:numId="77">
    <w:abstractNumId w:val="4"/>
  </w:num>
  <w:num w:numId="78">
    <w:abstractNumId w:val="4"/>
  </w:num>
  <w:num w:numId="79">
    <w:abstractNumId w:val="4"/>
  </w:num>
  <w:num w:numId="80">
    <w:abstractNumId w:val="4"/>
  </w:num>
  <w:num w:numId="81">
    <w:abstractNumId w:val="4"/>
  </w:num>
  <w:num w:numId="82">
    <w:abstractNumId w:val="4"/>
  </w:num>
  <w:num w:numId="83">
    <w:abstractNumId w:val="4"/>
  </w:num>
  <w:num w:numId="84">
    <w:abstractNumId w:val="4"/>
  </w:num>
  <w:num w:numId="85">
    <w:abstractNumId w:val="4"/>
  </w:num>
  <w:num w:numId="86">
    <w:abstractNumId w:val="4"/>
  </w:num>
  <w:num w:numId="87">
    <w:abstractNumId w:val="4"/>
  </w:num>
  <w:num w:numId="88">
    <w:abstractNumId w:val="4"/>
  </w:num>
  <w:num w:numId="89">
    <w:abstractNumId w:val="4"/>
  </w:num>
  <w:num w:numId="90">
    <w:abstractNumId w:val="4"/>
  </w:num>
  <w:num w:numId="91">
    <w:abstractNumId w:val="4"/>
  </w:num>
  <w:num w:numId="92">
    <w:abstractNumId w:val="4"/>
  </w:num>
  <w:num w:numId="93">
    <w:abstractNumId w:val="4"/>
  </w:num>
  <w:num w:numId="94">
    <w:abstractNumId w:val="4"/>
  </w:num>
  <w:num w:numId="95">
    <w:abstractNumId w:val="4"/>
  </w:num>
  <w:num w:numId="96">
    <w:abstractNumId w:val="4"/>
  </w:num>
  <w:num w:numId="97">
    <w:abstractNumId w:val="4"/>
  </w:num>
  <w:num w:numId="98">
    <w:abstractNumId w:val="4"/>
  </w:num>
  <w:num w:numId="99">
    <w:abstractNumId w:val="4"/>
  </w:num>
  <w:num w:numId="100">
    <w:abstractNumId w:val="4"/>
  </w:num>
  <w:num w:numId="101">
    <w:abstractNumId w:val="4"/>
  </w:num>
  <w:num w:numId="102">
    <w:abstractNumId w:val="4"/>
  </w:num>
  <w:num w:numId="103">
    <w:abstractNumId w:val="4"/>
  </w:num>
  <w:num w:numId="104">
    <w:abstractNumId w:val="4"/>
  </w:num>
  <w:num w:numId="105">
    <w:abstractNumId w:val="4"/>
  </w:num>
  <w:num w:numId="106">
    <w:abstractNumId w:val="4"/>
  </w:num>
  <w:num w:numId="107">
    <w:abstractNumId w:val="4"/>
  </w:num>
  <w:num w:numId="108">
    <w:abstractNumId w:val="4"/>
  </w:num>
  <w:num w:numId="109">
    <w:abstractNumId w:val="4"/>
  </w:num>
  <w:num w:numId="110">
    <w:abstractNumId w:val="4"/>
  </w:num>
  <w:num w:numId="111">
    <w:abstractNumId w:val="4"/>
  </w:num>
  <w:num w:numId="112">
    <w:abstractNumId w:val="4"/>
  </w:num>
  <w:num w:numId="113">
    <w:abstractNumId w:val="4"/>
  </w:num>
  <w:num w:numId="114">
    <w:abstractNumId w:val="4"/>
  </w:num>
</w:numbering>
</file>

<file path=word/settings.xml><?xml version="1.0" encoding="utf-8"?>
<w:settings xmlns:w="http://schemas.openxmlformats.org/wordprocessingml/2006/main">
  <w:zoom w:percent="100"/>
  <w:mirrorMargins/>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ＭＳ 明朝" w:cs="Tahoma" w:eastAsiaTheme="minorEastAsia"/>
      <w:color w:val="auto"/>
      <w:kern w:val="0"/>
      <w:sz w:val="24"/>
      <w:szCs w:val="24"/>
      <w:lang w:val="pt-BR" w:eastAsia="pt-BR" w:bidi="ar-SA"/>
    </w:rPr>
  </w:style>
  <w:style w:type="paragraph" w:styleId="Ttulo1">
    <w:name w:val="Heading 1"/>
    <w:basedOn w:val="Normal"/>
    <w:next w:val="Normal"/>
    <w:link w:val="Ttulo1Char"/>
    <w:uiPriority w:val="9"/>
    <w:qFormat/>
    <w:rsid w:val="00196a7f"/>
    <w:pPr>
      <w:keepNext w:val="true"/>
      <w:keepLines/>
      <w:numPr>
        <w:ilvl w:val="0"/>
        <w:numId w:val="1"/>
      </w:numPr>
      <w:spacing w:before="480" w:after="0"/>
      <w:outlineLvl w:val="0"/>
    </w:pPr>
    <w:rPr>
      <w:rFonts w:ascii="Arial" w:hAnsi="Arial" w:eastAsia="ＭＳ ゴシック" w:cs="Times New Roman" w:cstheme="majorBidi" w:eastAsiaTheme="majorEastAsia"/>
      <w:b/>
      <w:bCs/>
      <w:sz w:val="20"/>
      <w:szCs w:val="28"/>
    </w:rPr>
  </w:style>
  <w:style w:type="paragraph" w:styleId="Ttulo2">
    <w:name w:val="Heading 2"/>
    <w:basedOn w:val="Normal"/>
    <w:next w:val="Normal"/>
    <w:link w:val="Ttulo2Char"/>
    <w:qFormat/>
    <w:rsid w:val="00196a7f"/>
    <w:pPr>
      <w:keepNext w:val="true"/>
      <w:numPr>
        <w:ilvl w:val="1"/>
        <w:numId w:val="1"/>
      </w:numPr>
      <w:spacing w:lineRule="auto" w:line="276" w:before="120" w:after="120"/>
      <w:ind w:left="0" w:hanging="0"/>
      <w:jc w:val="both"/>
      <w:outlineLvl w:val="1"/>
    </w:pPr>
    <w:rPr>
      <w:rFonts w:ascii="Arial" w:hAnsi="Arial" w:cs="Times New Roman"/>
      <w:sz w:val="2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unhideWhenUsed/>
    <w:qFormat/>
    <w:rsid w:val="00196a7f"/>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Ttulo2"/>
    <w:qFormat/>
    <w:rsid w:val="00e14b42"/>
    <w:rPr>
      <w:rFonts w:ascii="Arial" w:hAnsi="Arial"/>
      <w:lang w:eastAsia="pt-BR"/>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link w:val="Cabealho"/>
    <w:uiPriority w:val="99"/>
    <w:qFormat/>
    <w:rsid w:val="00ca24fb"/>
    <w:rPr>
      <w:rFonts w:ascii="Ecofont_Spranq_eco_Sans" w:hAnsi="Ecofont_Spranq_eco_Sans" w:cs="Tahoma"/>
      <w:sz w:val="24"/>
      <w:szCs w:val="24"/>
    </w:rPr>
  </w:style>
  <w:style w:type="character" w:styleId="RodapChar" w:customStyle="1">
    <w:name w:val="Rodapé Char"/>
    <w:link w:val="Rodap"/>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iPriority w:val="99"/>
    <w:unhideWhenUsed/>
    <w:qFormat/>
    <w:rsid w:val="00430fdb"/>
    <w:rPr>
      <w:sz w:val="16"/>
      <w:szCs w:val="16"/>
    </w:rPr>
  </w:style>
  <w:style w:type="character" w:styleId="TextodecomentrioChar" w:customStyle="1">
    <w:name w:val="Texto de comentário Char"/>
    <w:basedOn w:val="DefaultParagraphFont"/>
    <w:link w:val="Textodecomentrio"/>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Ttulo4"/>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3b3af3"/>
    <w:rPr>
      <w:rFonts w:ascii="Arial" w:hAnsi="Arial" w:eastAsia="Arial" w:cs="Arial"/>
      <w:b/>
      <w:iCs/>
      <w:color w:val="17365D" w:themeColor="text2" w:themeShade="bf"/>
      <w:spacing w:val="5"/>
      <w:kern w:val="2"/>
      <w:sz w:val="52"/>
      <w:szCs w:val="52"/>
      <w:lang w:eastAsia="pt-BR"/>
    </w:rPr>
  </w:style>
  <w:style w:type="character" w:styleId="Ttulo1Char" w:customStyle="1">
    <w:name w:val="Título 1 Char"/>
    <w:basedOn w:val="DefaultParagraphFont"/>
    <w:link w:val="Ttulo1"/>
    <w:uiPriority w:val="9"/>
    <w:qFormat/>
    <w:rsid w:val="00501cb5"/>
    <w:rPr>
      <w:rFonts w:ascii="Arial" w:hAnsi="Arial" w:eastAsia="ＭＳ ゴシック" w:cs="Times New Roman" w:cstheme="majorBidi" w:eastAsiaTheme="majorEastAsia"/>
      <w:b/>
      <w:bCs/>
      <w:szCs w:val="28"/>
      <w:lang w:eastAsia="pt-BR"/>
    </w:rPr>
  </w:style>
  <w:style w:type="character" w:styleId="Nivel01TituloChar" w:customStyle="1">
    <w:name w:val="Nivel_01_Titulo Char"/>
    <w:basedOn w:val="Nivel01Char"/>
    <w:link w:val="Nivel01Titulo"/>
    <w:qFormat/>
    <w:rsid w:val="00e967ea"/>
    <w:rPr>
      <w:rFonts w:ascii="Arial" w:hAnsi="Arial" w:eastAsia="Arial" w:cs="Times New Roman" w:cstheme="majorBidi"/>
      <w:b/>
      <w:i w:val="false"/>
      <w:i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Cs w:val="28"/>
      <w:lang w:eastAsia="pt-BR"/>
    </w:rPr>
  </w:style>
  <w:style w:type="character" w:styleId="Nivel4Char" w:customStyle="1">
    <w:name w:val="Nivel 4 Char"/>
    <w:basedOn w:val="DefaultParagraphFont"/>
    <w:link w:val="Nivel4"/>
    <w:qFormat/>
    <w:rsid w:val="00711273"/>
    <w:rPr>
      <w:rFonts w:ascii="Arial" w:hAnsi="Arial" w:cs="Arial"/>
      <w:bCs/>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Link da internet visitado"/>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OpcionalChar" w:customStyle="1">
    <w:name w:val="Nivel 2-Opcional Char"/>
    <w:basedOn w:val="DefaultParagraphFont"/>
    <w:link w:val="Nivel2-Opcional"/>
    <w:qFormat/>
    <w:locked/>
    <w:rsid w:val="00ee5824"/>
    <w:rPr>
      <w:rFonts w:ascii="Arial" w:hAnsi="Arial" w:eastAsia="Arial" w:cs="Arial"/>
      <w:i/>
      <w:color w:val="FF0000"/>
      <w:shd w:fill="76923C" w:val="clear"/>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color w:val="FF0000"/>
      <w:shd w:fill="76923C" w:val="clear"/>
      <w:lang w:eastAsia="pt-BR"/>
    </w:rPr>
  </w:style>
  <w:style w:type="character" w:styleId="Nvel3OpcionalChar" w:customStyle="1">
    <w:name w:val="Nível 3 Opcional Char"/>
    <w:basedOn w:val="DefaultParagraphFont"/>
    <w:link w:val="Nvel3Opcional"/>
    <w:qFormat/>
    <w:rsid w:val="00a831d9"/>
    <w:rPr>
      <w:rFonts w:ascii="Arial" w:hAnsi="Arial" w:eastAsia="Times New Roman" w:cs="Tahoma"/>
      <w:i/>
      <w:iCs/>
      <w:color w:val="FF0000"/>
      <w:szCs w:val="24"/>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PargrafodaLista"/>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link w:val="Ttulo3"/>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link w:val="Ttulo6"/>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057363"/>
    <w:rPr>
      <w:rFonts w:ascii="Arial" w:hAnsi="Arial" w:eastAsia="Cambria" w:cs="Arial" w:eastAsiaTheme="minorHAnsi"/>
      <w:b/>
      <w:bCs/>
      <w:i/>
      <w:iCs/>
      <w:color w:val="FF0000"/>
      <w:sz w:val="24"/>
      <w:szCs w:val="24"/>
      <w:lang w:eastAsia="pt-BR"/>
    </w:rPr>
  </w:style>
  <w:style w:type="character" w:styleId="Nvel02Char" w:customStyle="1">
    <w:name w:val="Nível 02 Char"/>
    <w:basedOn w:val="Nivel2OpcionalChar"/>
    <w:link w:val="Nvel02"/>
    <w:qFormat/>
    <w:rsid w:val="00ea1440"/>
    <w:rPr>
      <w:rFonts w:ascii="Arial" w:hAnsi="Arial" w:eastAsia="Arial" w:cs="Arial"/>
      <w:i w:val="false"/>
      <w:iCs/>
      <w:color w:val="FF0000"/>
      <w:shd w:fill="76923C" w:val="clear"/>
      <w:lang w:eastAsia="pt-BR"/>
    </w:rPr>
  </w:style>
  <w:style w:type="character" w:styleId="Nivel3erroChar" w:customStyle="1">
    <w:name w:val="Nivel 3-erro Char"/>
    <w:basedOn w:val="DefaultParagraphFont"/>
    <w:link w:val="Nivel3-erro"/>
    <w:qFormat/>
    <w:rsid w:val="00667c40"/>
    <w:rPr>
      <w:rFonts w:ascii="Arial" w:hAnsi="Arial" w:cs="Tahoma"/>
      <w:szCs w:val="24"/>
      <w:lang w:eastAsia="pt-BR"/>
    </w:rPr>
  </w:style>
  <w:style w:type="character" w:styleId="Nvel3RChar" w:customStyle="1">
    <w:name w:val="Nível 3-R Char"/>
    <w:basedOn w:val="Nivel3erroChar"/>
    <w:link w:val="Nvel3-R"/>
    <w:qFormat/>
    <w:rsid w:val="0074191c"/>
    <w:rPr>
      <w:rFonts w:ascii="Arial" w:hAnsi="Arial" w:cs="Arial"/>
      <w:i/>
      <w:iCs/>
      <w:color w:val="FF0000"/>
      <w:szCs w:val="24"/>
      <w:lang w:eastAsia="pt-BR"/>
    </w:rPr>
  </w:style>
  <w:style w:type="character" w:styleId="Nvel4RChar" w:customStyle="1">
    <w:name w:val="Nível 4-R Char"/>
    <w:basedOn w:val="Nivel4Char"/>
    <w:link w:val="Nvel4-R"/>
    <w:qFormat/>
    <w:rsid w:val="00d16569"/>
    <w:rPr>
      <w:rFonts w:ascii="Arial" w:hAnsi="Arial" w:cs="Arial"/>
      <w:bCs/>
      <w:i/>
      <w:color w:val="FF0000"/>
      <w:lang w:eastAsia="pt-BR"/>
    </w:rPr>
  </w:style>
  <w:style w:type="character" w:styleId="Nvel1SemNumChar" w:customStyle="1">
    <w:name w:val="Nível 1-Sem Num Char"/>
    <w:basedOn w:val="Nivel01Char"/>
    <w:link w:val="Nvel1-SemNum"/>
    <w:qFormat/>
    <w:rsid w:val="00ee5824"/>
    <w:rPr>
      <w:rFonts w:ascii="Arial" w:hAnsi="Arial" w:eastAsia="Arial" w:cs="Arial"/>
      <w:b/>
      <w:i/>
      <w:iCs w:val="false"/>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8d252d"/>
    <w:rPr>
      <w:color w:val="605E5C"/>
      <w:shd w:fill="E1DFDD" w:val="clear"/>
    </w:rPr>
  </w:style>
  <w:style w:type="character" w:styleId="Citao2Char" w:customStyle="1">
    <w:name w:val="citação 2 Char"/>
    <w:basedOn w:val="CitaoChar"/>
    <w:link w:val="citao2"/>
    <w:qFormat/>
    <w:rsid w:val="00573b28"/>
    <w:rPr>
      <w:rFonts w:ascii="Arial" w:hAnsi="Arial" w:eastAsia="Calibri" w:cs="Tahoma"/>
      <w:i/>
      <w:iCs/>
      <w:color w:val="000000"/>
      <w:szCs w:val="24"/>
      <w:shd w:fill="FFFFCC" w:val="clear"/>
    </w:rPr>
  </w:style>
  <w:style w:type="character" w:styleId="Nvel1SemNumeraoChar" w:customStyle="1">
    <w:name w:val="Nível 1-Sem Numeração Char"/>
    <w:basedOn w:val="Nvel1SemNumChar"/>
    <w:link w:val="Nvel1-SemNumerao"/>
    <w:qFormat/>
    <w:rsid w:val="001e22b4"/>
    <w:rPr>
      <w:rFonts w:ascii="Arial" w:hAnsi="Arial" w:eastAsia="Arial" w:cs="Arial"/>
      <w:b/>
      <w:i w:val="false"/>
      <w:iCs w:val="false"/>
      <w:color w:val="FF0000"/>
      <w:spacing w:val="5"/>
      <w:kern w:val="2"/>
      <w:sz w:val="52"/>
      <w:szCs w:val="52"/>
      <w:lang w:eastAsia="pt-BR"/>
    </w:rPr>
  </w:style>
  <w:style w:type="character" w:styleId="MenoPendente6" w:customStyle="1">
    <w:name w:val="Menção Pendente6"/>
    <w:basedOn w:val="DefaultParagraphFont"/>
    <w:uiPriority w:val="99"/>
    <w:semiHidden/>
    <w:unhideWhenUsed/>
    <w:qFormat/>
    <w:rsid w:val="004b478e"/>
    <w:rPr>
      <w:color w:val="605E5C"/>
      <w:shd w:fill="E1DFDD" w:val="clear"/>
    </w:rPr>
  </w:style>
  <w:style w:type="character" w:styleId="AlteraesChar" w:customStyle="1">
    <w:name w:val="Alterações Char"/>
    <w:basedOn w:val="Nvel02Char"/>
    <w:link w:val="Alteraes"/>
    <w:uiPriority w:val="1"/>
    <w:qFormat/>
    <w:rsid w:val="00af5de1"/>
    <w:rPr>
      <w:rFonts w:ascii="Arial" w:hAnsi="Arial" w:eastAsia="Arial" w:cs="Arial"/>
      <w:i w:val="false"/>
      <w:iCs/>
      <w:color w:val="0000FF"/>
      <w:shd w:fill="76923C" w:val="clear"/>
      <w:lang w:eastAsia="pt-BR"/>
    </w:rPr>
  </w:style>
  <w:style w:type="character" w:styleId="Nivel3Char" w:customStyle="1">
    <w:name w:val="Nivel 3 Char"/>
    <w:basedOn w:val="DefaultParagraphFont"/>
    <w:link w:val="Nivel3"/>
    <w:qFormat/>
    <w:rsid w:val="00591ffe"/>
    <w:rPr>
      <w:rFonts w:ascii="Arial" w:hAnsi="Arial" w:cs="Tahoma"/>
      <w:szCs w:val="24"/>
      <w:lang w:eastAsia="pt-BR"/>
    </w:rPr>
  </w:style>
  <w:style w:type="character" w:styleId="UnresolvedMention">
    <w:name w:val="Unresolved Mention"/>
    <w:basedOn w:val="DefaultParagraphFont"/>
    <w:uiPriority w:val="99"/>
    <w:semiHidden/>
    <w:unhideWhenUsed/>
    <w:qFormat/>
    <w:rsid w:val="00793206"/>
    <w:rPr>
      <w:color w:val="605E5C"/>
      <w:shd w:fill="E1DFDD" w:val="clear"/>
    </w:rPr>
  </w:style>
  <w:style w:type="character" w:styleId="Nvel2OpcionalChar1" w:customStyle="1">
    <w:name w:val="Nível 2-Opcional Char"/>
    <w:basedOn w:val="Nvel02Char"/>
    <w:link w:val="Nvel2-Opcional"/>
    <w:qFormat/>
    <w:rsid w:val="00a70641"/>
    <w:rPr>
      <w:rFonts w:ascii="Arial" w:hAnsi="Arial" w:eastAsia="Arial" w:cs="Arial"/>
      <w:i/>
      <w:iCs/>
      <w:color w:val="FF0000"/>
      <w:shd w:fill="76923C" w:val="clear"/>
      <w:lang w:eastAsia="pt-BR"/>
    </w:rPr>
  </w:style>
  <w:style w:type="character" w:styleId="Nvel3OpcionalChar1" w:customStyle="1">
    <w:name w:val="Nível 3-Opcional Char"/>
    <w:basedOn w:val="Nivel3Char"/>
    <w:link w:val="Nvel3-Opcional"/>
    <w:qFormat/>
    <w:rsid w:val="00a70641"/>
    <w:rPr>
      <w:rFonts w:ascii="Arial" w:hAnsi="Arial" w:cs="Tahoma"/>
      <w:i/>
      <w:color w:val="FF0000"/>
      <w:szCs w:val="24"/>
      <w:lang w:eastAsia="pt-BR"/>
    </w:rPr>
  </w:style>
  <w:style w:type="character" w:styleId="Nvel1SemBlackChar" w:customStyle="1">
    <w:name w:val="Nível 1-Sem Black Char"/>
    <w:basedOn w:val="DefaultParagraphFont"/>
    <w:link w:val="Nvel1-SemBlack"/>
    <w:uiPriority w:val="1"/>
    <w:qFormat/>
    <w:rsid w:val="00243342"/>
    <w:rPr>
      <w:rFonts w:ascii="Arial" w:hAnsi="Arial" w:eastAsia="ＭＳ ゴシック" w:cs="Arial" w:eastAsiaTheme="majorEastAsia"/>
      <w:b/>
      <w:bCs/>
      <w:lang w:eastAsia="pt-BR"/>
    </w:rPr>
  </w:style>
  <w:style w:type="character" w:styleId="Nivel2Char" w:customStyle="1">
    <w:name w:val="Nivel 2 Char"/>
    <w:basedOn w:val="DefaultParagraphFont"/>
    <w:link w:val="Nivel2"/>
    <w:qFormat/>
    <w:locked/>
    <w:rsid w:val="00196a7f"/>
    <w:rPr>
      <w:rFonts w:ascii="Arial" w:hAnsi="Arial" w:eastAsia="Arial" w:cs="Arial"/>
      <w:lang w:eastAsia="pt-BR"/>
    </w:rPr>
  </w:style>
  <w:style w:type="character" w:styleId="Nvel2RedChar" w:customStyle="1">
    <w:name w:val="Nível 2 -Red Char"/>
    <w:basedOn w:val="Nivel2Char"/>
    <w:link w:val="Nvel2-Red"/>
    <w:qFormat/>
    <w:rsid w:val="00196a7f"/>
    <w:rPr>
      <w:rFonts w:ascii="Arial" w:hAnsi="Arial" w:eastAsia="Arial" w:cs="Arial"/>
      <w:i/>
      <w:iCs/>
      <w:color w:val="FF0000"/>
      <w:lang w:eastAsia="pt-BR"/>
    </w:rPr>
  </w:style>
  <w:style w:type="character" w:styleId="Mentionnonrsolue1" w:customStyle="1">
    <w:name w:val="Mention non résolue1"/>
    <w:basedOn w:val="DefaultParagraphFont"/>
    <w:uiPriority w:val="99"/>
    <w:semiHidden/>
    <w:unhideWhenUsed/>
    <w:qFormat/>
    <w:rsid w:val="00196a7f"/>
    <w:rPr>
      <w:color w:val="605E5C"/>
      <w:shd w:fill="E1DFDD" w:val="clear"/>
    </w:rPr>
  </w:style>
  <w:style w:type="character" w:styleId="Findhit" w:customStyle="1">
    <w:name w:val="findhit"/>
    <w:basedOn w:val="DefaultParagraphFont"/>
    <w:qFormat/>
    <w:rsid w:val="00196a7f"/>
    <w:rPr/>
  </w:style>
  <w:style w:type="character" w:styleId="Meno1" w:customStyle="1">
    <w:name w:val="Menção1"/>
    <w:basedOn w:val="DefaultParagraphFont"/>
    <w:uiPriority w:val="99"/>
    <w:unhideWhenUsed/>
    <w:qFormat/>
    <w:rsid w:val="00196a7f"/>
    <w:rPr>
      <w:color w:val="2B579A"/>
      <w:shd w:fill="E6E6E6" w:val="clear"/>
    </w:rPr>
  </w:style>
  <w:style w:type="character" w:styleId="Nvel1SemNumPretoChar" w:customStyle="1">
    <w:name w:val="Nível 1-Sem Num Preto Char"/>
    <w:basedOn w:val="Nvel1SemNumChar"/>
    <w:link w:val="Nvel1-SemNumPreto"/>
    <w:qFormat/>
    <w:rsid w:val="00196a7f"/>
    <w:rPr>
      <w:rFonts w:ascii="Arial" w:hAnsi="Arial" w:eastAsia="ＭＳ ゴシック" w:cs="Arial" w:eastAsiaTheme="majorEastAsia"/>
      <w:b/>
      <w:bCs/>
      <w:i w:val="false"/>
      <w:iCs/>
      <w:color w:val="FF0000"/>
      <w:spacing w:val="5"/>
      <w:kern w:val="2"/>
      <w:sz w:val="52"/>
      <w:szCs w:val="52"/>
      <w:lang w:eastAsia="zh-CN" w:bidi="hi-IN"/>
    </w:rPr>
  </w:style>
  <w:style w:type="character" w:styleId="Cf01" w:customStyle="1">
    <w:name w:val="cf01"/>
    <w:basedOn w:val="DefaultParagraphFont"/>
    <w:qFormat/>
    <w:rsid w:val="00196a7f"/>
    <w:rPr>
      <w:rFonts w:ascii="Segoe UI" w:hAnsi="Segoe UI" w:cs="Segoe UI"/>
      <w:b/>
      <w:bCs/>
      <w:i/>
      <w:iCs/>
      <w:sz w:val="18"/>
      <w:szCs w:val="18"/>
    </w:rPr>
  </w:style>
  <w:style w:type="character" w:styleId="TextodecomentrioChar1" w:customStyle="1">
    <w:name w:val="Texto de comentário Char1"/>
    <w:basedOn w:val="DefaultParagraphFont"/>
    <w:uiPriority w:val="99"/>
    <w:qFormat/>
    <w:rsid w:val="00196a7f"/>
    <w:rPr>
      <w:rFonts w:ascii="Ecofont_Spranq_eco_Sans" w:hAnsi="Ecofont_Spranq_eco_Sans" w:cs="Tahoma"/>
      <w:lang w:eastAsia="pt-BR"/>
    </w:rPr>
  </w:style>
  <w:style w:type="character" w:styleId="Nvel4RedChar" w:customStyle="1">
    <w:name w:val="Nível 4-Red Char"/>
    <w:basedOn w:val="DefaultParagraphFont"/>
    <w:link w:val="Nvel4-Red"/>
    <w:qFormat/>
    <w:rsid w:val="00196a7f"/>
    <w:rPr>
      <w:rFonts w:ascii="Arial" w:hAnsi="Arial" w:eastAsia="MS Mincho" w:cs="Arial"/>
      <w:iCs/>
      <w:color w:val="FF0000"/>
    </w:rPr>
  </w:style>
  <w:style w:type="character" w:styleId="Nivel4Char1" w:customStyle="1">
    <w:name w:val="Nivel 4 Char1"/>
    <w:basedOn w:val="DefaultParagraphFont"/>
    <w:qFormat/>
    <w:rsid w:val="00196a7f"/>
    <w:rPr>
      <w:rFonts w:ascii="Arial" w:hAnsi="Arial" w:cs="Arial"/>
      <w:color w:val="000000"/>
      <w:lang w:eastAsia="pt-BR"/>
    </w:rPr>
  </w:style>
  <w:style w:type="character" w:styleId="Estilo7Char" w:customStyle="1">
    <w:name w:val="Estilo7 Char"/>
    <w:basedOn w:val="Nivel2Char"/>
    <w:link w:val="Estilo7"/>
    <w:qFormat/>
    <w:rsid w:val="00196a7f"/>
    <w:rPr>
      <w:rFonts w:ascii="Arial" w:hAnsi="Arial" w:eastAsia="Arial" w:cs="Arial"/>
      <w:i/>
      <w:color w:val="FF0000"/>
      <w:lang w:eastAsia="pt-BR"/>
    </w:rPr>
  </w:style>
  <w:style w:type="character" w:styleId="Estilo8Char" w:customStyle="1">
    <w:name w:val="Estilo8 Char"/>
    <w:basedOn w:val="Nivel3Char"/>
    <w:link w:val="Estilo8"/>
    <w:qFormat/>
    <w:rsid w:val="00196a7f"/>
    <w:rPr>
      <w:rFonts w:ascii="Arial" w:hAnsi="Arial" w:cs="Arial"/>
      <w:i/>
      <w:color w:val="FF0000"/>
      <w:szCs w:val="24"/>
      <w:lang w:eastAsia="pt-BR"/>
    </w:rPr>
  </w:style>
  <w:style w:type="character" w:styleId="Nivel5Char" w:customStyle="1">
    <w:name w:val="Nivel 5 Char"/>
    <w:basedOn w:val="Nivel4Char"/>
    <w:link w:val="Nivel5"/>
    <w:qFormat/>
    <w:rsid w:val="00196a7f"/>
    <w:rPr>
      <w:rFonts w:ascii="Arial" w:hAnsi="Arial" w:cs="Arial"/>
      <w:bCs/>
      <w:i/>
      <w:color w:val="FF0000"/>
      <w:lang w:eastAsia="pt-BR"/>
    </w:rPr>
  </w:style>
  <w:style w:type="character" w:styleId="Estilo9Char" w:customStyle="1">
    <w:name w:val="Estilo9 Char"/>
    <w:basedOn w:val="Nivel5Char"/>
    <w:link w:val="Estilo9"/>
    <w:qFormat/>
    <w:rsid w:val="00196a7f"/>
    <w:rPr>
      <w:rFonts w:ascii="Arial" w:hAnsi="Arial" w:cs="Arial"/>
      <w:bCs/>
      <w:i w:val="false"/>
      <w:color w:val="FF0000"/>
      <w:szCs w:val="24"/>
      <w:lang w:eastAsia="pt-BR"/>
    </w:rPr>
  </w:style>
  <w:style w:type="character" w:styleId="Nfaseforte">
    <w:name w:val="Ênfase forte"/>
    <w:qFormat/>
    <w:rPr>
      <w:b/>
      <w:bCs/>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lang w:val="zxx" w:eastAsia="zxx" w:bidi="zxx"/>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lear" w:pos="720"/>
        <w:tab w:val="center" w:pos="4252" w:leader="none"/>
        <w:tab w:val="right" w:pos="8504" w:leader="none"/>
      </w:tabs>
    </w:pPr>
    <w:rPr/>
  </w:style>
  <w:style w:type="paragraph" w:styleId="Rodap">
    <w:name w:val="Footer"/>
    <w:basedOn w:val="Normal"/>
    <w:link w:val="RodapChar"/>
    <w:uiPriority w:val="99"/>
    <w:rsid w:val="00ca24fb"/>
    <w:pPr>
      <w:tabs>
        <w:tab w:val="clear" w:pos="720"/>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ListParagraph"/>
    <w:next w:val="Normal"/>
    <w:link w:val="Nivel01Char"/>
    <w:qFormat/>
    <w:rsid w:val="003b3af3"/>
    <w:pPr>
      <w:spacing w:lineRule="auto" w:line="276" w:before="360" w:after="120"/>
      <w:ind w:left="357" w:hanging="357"/>
      <w:contextualSpacing w:val="false"/>
      <w:jc w:val="both"/>
      <w:outlineLvl w:val="0"/>
    </w:pPr>
    <w:rPr>
      <w:rFonts w:ascii="Arial" w:hAnsi="Arial" w:eastAsia="Arial" w:cs="Arial"/>
      <w:b/>
      <w:iCs/>
      <w:sz w:val="20"/>
      <w:szCs w:val="20"/>
    </w:rPr>
  </w:style>
  <w:style w:type="paragraph" w:styleId="Nivel01Titulo" w:customStyle="1">
    <w:name w:val="Nivel_01_Titulo"/>
    <w:basedOn w:val="Nivel01"/>
    <w:link w:val="Nivel01TituloChar"/>
    <w:qFormat/>
    <w:rsid w:val="00196a7f"/>
    <w:pPr>
      <w:jc w:val="left"/>
      <w:outlineLvl w:val="9"/>
    </w:pPr>
    <w:rPr>
      <w:rFonts w:cs="Times New Roman" w:cstheme="majorBidi"/>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196a7f"/>
    <w:pPr>
      <w:numPr>
        <w:ilvl w:val="0"/>
        <w:numId w:val="0"/>
      </w:numPr>
      <w:spacing w:lineRule="auto" w:line="276"/>
      <w:ind w:left="357" w:hanging="357"/>
      <w:jc w:val="both"/>
      <w:outlineLvl w:val="9"/>
    </w:pPr>
    <w:rPr>
      <w:rFonts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Opcional" w:customStyle="1">
    <w:name w:val="Nivel 2-Opcional"/>
    <w:basedOn w:val="Normal"/>
    <w:link w:val="Nivel2-OpcionalChar"/>
    <w:autoRedefine/>
    <w:qFormat/>
    <w:rsid w:val="00ee5824"/>
    <w:pPr>
      <w:numPr>
        <w:ilvl w:val="0"/>
        <w:numId w:val="4"/>
      </w:numPr>
      <w:shd w:val="clear" w:color="auto" w:fill="76923C" w:themeFill="accent3" w:themeFillShade="bf"/>
      <w:spacing w:lineRule="auto" w:line="276" w:before="120" w:after="120"/>
      <w:ind w:left="0" w:hanging="0"/>
      <w:jc w:val="both"/>
    </w:pPr>
    <w:rPr>
      <w:rFonts w:ascii="Arial" w:hAnsi="Arial" w:eastAsia="Arial" w:cs="Arial"/>
      <w:i/>
      <w:color w:val="FF0000"/>
      <w:sz w:val="20"/>
      <w:szCs w:val="20"/>
    </w:rPr>
  </w:style>
  <w:style w:type="paragraph" w:styleId="Nivel11" w:customStyle="1">
    <w:name w:val="Nivel 1"/>
    <w:basedOn w:val="Nivel2Opcional"/>
    <w:next w:val="Nivel2Opcional"/>
    <w:qFormat/>
    <w:rsid w:val="00196a7f"/>
    <w:pPr>
      <w:numPr>
        <w:ilvl w:val="0"/>
        <w:numId w:val="0"/>
      </w:numPr>
      <w:ind w:left="360" w:hanging="360"/>
    </w:pPr>
    <w:rPr>
      <w:b/>
    </w:rPr>
  </w:style>
  <w:style w:type="paragraph" w:styleId="Nivel3erro" w:customStyle="1">
    <w:name w:val="Nivel 3-erro"/>
    <w:basedOn w:val="Nivel3"/>
    <w:link w:val="Nivel3-erroChar"/>
    <w:autoRedefine/>
    <w:qFormat/>
    <w:rsid w:val="00196a7f"/>
    <w:pPr>
      <w:numPr>
        <w:ilvl w:val="0"/>
        <w:numId w:val="3"/>
      </w:numPr>
      <w:ind w:left="993" w:hanging="0"/>
    </w:pPr>
    <w:rPr/>
  </w:style>
  <w:style w:type="paragraph" w:styleId="Nivel4" w:customStyle="1">
    <w:name w:val="Nivel 4"/>
    <w:basedOn w:val="Nvel4R"/>
    <w:link w:val="Nivel4Char"/>
    <w:qFormat/>
    <w:rsid w:val="00196a7f"/>
    <w:pPr/>
    <w:rPr>
      <w:i w:val="false"/>
      <w:color w:val="auto"/>
    </w:rPr>
  </w:style>
  <w:style w:type="paragraph" w:styleId="Nivel5" w:customStyle="1">
    <w:name w:val="Nivel 5"/>
    <w:basedOn w:val="Nvel4R"/>
    <w:link w:val="Nivel5Char"/>
    <w:qFormat/>
    <w:rsid w:val="00196a7f"/>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Opcional"/>
    <w:link w:val="Nvel2OpcionalChar"/>
    <w:qFormat/>
    <w:rsid w:val="00196a7f"/>
    <w:pPr>
      <w:numPr>
        <w:ilvl w:val="0"/>
        <w:numId w:val="0"/>
      </w:numPr>
      <w:ind w:left="432" w:hanging="432"/>
    </w:pPr>
    <w:rPr>
      <w:rFonts w:eastAsia="Times New Roman"/>
      <w:i w:val="false"/>
    </w:rPr>
  </w:style>
  <w:style w:type="paragraph" w:styleId="Nvel3Opcional" w:customStyle="1">
    <w:name w:val="Nível 3 Opcional"/>
    <w:basedOn w:val="Nivel3erro"/>
    <w:link w:val="Nvel3OpcionalChar"/>
    <w:qFormat/>
    <w:rsid w:val="00196a7f"/>
    <w:pPr>
      <w:numPr>
        <w:ilvl w:val="0"/>
        <w:numId w:val="0"/>
      </w:num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196a7f"/>
    <w:pPr>
      <w:spacing w:lineRule="auto" w:line="259" w:before="60" w:after="60"/>
      <w:ind w:left="0" w:hanging="0"/>
      <w:contextualSpacing w:val="false"/>
      <w:jc w:val="center"/>
    </w:pPr>
    <w:rPr>
      <w:rFonts w:ascii="Arial" w:hAnsi="Arial" w:eastAsia="Cambria" w:cs="Arial" w:eastAsiaTheme="minorHAnsi"/>
      <w:b/>
      <w:bCs/>
      <w:i/>
      <w:iCs/>
      <w:color w:val="FF0000"/>
      <w:sz w:val="20"/>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02" w:customStyle="1">
    <w:name w:val="Nível 02"/>
    <w:basedOn w:val="Nivel2Opcional"/>
    <w:link w:val="Nvel02Char"/>
    <w:qFormat/>
    <w:rsid w:val="00ea1440"/>
    <w:pPr>
      <w:shd w:val="clear" w:color="auto" w:fill="auto"/>
    </w:pPr>
    <w:rPr>
      <w:i w:val="false"/>
      <w:iCs/>
      <w:color w:val="auto"/>
    </w:rPr>
  </w:style>
  <w:style w:type="paragraph" w:styleId="Nvel3R" w:customStyle="1">
    <w:name w:val="Nível 3-R"/>
    <w:basedOn w:val="Nivel3erro"/>
    <w:link w:val="Nvel3-RChar"/>
    <w:qFormat/>
    <w:rsid w:val="00196a7f"/>
    <w:pPr>
      <w:ind w:left="1638" w:hanging="504"/>
    </w:pPr>
    <w:rPr>
      <w:rFonts w:cs="Arial"/>
      <w:i/>
      <w:iCs/>
      <w:color w:val="FF0000"/>
    </w:rPr>
  </w:style>
  <w:style w:type="paragraph" w:styleId="Nvel4R" w:customStyle="1">
    <w:name w:val="Nível 4-R"/>
    <w:basedOn w:val="Nvel3Opcional1"/>
    <w:link w:val="Nvel4-RChar"/>
    <w:qFormat/>
    <w:rsid w:val="00196a7f"/>
    <w:pPr>
      <w:ind w:left="567" w:hanging="0"/>
    </w:pPr>
    <w:rPr>
      <w:rFonts w:cs="Arial"/>
      <w:bCs/>
      <w:szCs w:val="20"/>
    </w:rPr>
  </w:style>
  <w:style w:type="paragraph" w:styleId="Nvel1SemNum" w:customStyle="1">
    <w:name w:val="Nível 1-Sem Num"/>
    <w:basedOn w:val="Nivel01"/>
    <w:link w:val="Nvel1-SemNumChar"/>
    <w:qFormat/>
    <w:rsid w:val="00196a7f"/>
    <w:pPr>
      <w:spacing w:before="120" w:after="120"/>
      <w:outlineLvl w:val="1"/>
    </w:pPr>
    <w:rPr>
      <w:i/>
      <w:iCs w:val="false"/>
      <w:color w:val="FF0000"/>
    </w:rPr>
  </w:style>
  <w:style w:type="paragraph" w:styleId="Citao2" w:customStyle="1">
    <w:name w:val="citação 2"/>
    <w:basedOn w:val="Quote"/>
    <w:link w:val="citao2Char"/>
    <w:qFormat/>
    <w:rsid w:val="00dc41dd"/>
    <w:pPr>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Nvel1SemNumerao" w:customStyle="1">
    <w:name w:val="Nível 1-Sem Numeração"/>
    <w:basedOn w:val="Nvel1SemNum"/>
    <w:link w:val="Nvel1-SemNumeraoChar"/>
    <w:qFormat/>
    <w:rsid w:val="001e22b4"/>
    <w:pPr>
      <w:outlineLvl w:val="9"/>
    </w:pPr>
    <w:rPr>
      <w:i w:val="false"/>
      <w:color w:val="auto"/>
    </w:rPr>
  </w:style>
  <w:style w:type="paragraph" w:styleId="Nivel3" w:customStyle="1">
    <w:name w:val="Nivel 3"/>
    <w:basedOn w:val="Normal"/>
    <w:link w:val="Nivel3Char"/>
    <w:qFormat/>
    <w:rsid w:val="00196a7f"/>
    <w:pPr>
      <w:numPr>
        <w:ilvl w:val="0"/>
        <w:numId w:val="6"/>
      </w:numPr>
      <w:spacing w:lineRule="auto" w:line="276" w:before="120" w:after="120"/>
      <w:ind w:left="284" w:hanging="0"/>
      <w:jc w:val="both"/>
    </w:pPr>
    <w:rPr>
      <w:rFonts w:ascii="Arial" w:hAnsi="Arial"/>
      <w:sz w:val="20"/>
    </w:rPr>
  </w:style>
  <w:style w:type="paragraph" w:styleId="Alteraes" w:customStyle="1">
    <w:name w:val="Alterações"/>
    <w:basedOn w:val="Nvel02"/>
    <w:link w:val="AlteraesChar"/>
    <w:uiPriority w:val="1"/>
    <w:qFormat/>
    <w:rsid w:val="00196a7f"/>
    <w:pPr/>
    <w:rPr>
      <w:color w:val="0000FF"/>
    </w:rPr>
  </w:style>
  <w:style w:type="paragraph" w:styleId="Contedodatabela" w:customStyle="1">
    <w:name w:val="Conteúdo da tabela"/>
    <w:basedOn w:val="Normal"/>
    <w:qFormat/>
    <w:rsid w:val="005f7663"/>
    <w:pPr>
      <w:widowControl w:val="false"/>
      <w:suppressLineNumbers/>
      <w:suppressAutoHyphens w:val="true"/>
      <w:textAlignment w:val="baseline"/>
    </w:pPr>
    <w:rPr>
      <w:rFonts w:ascii="Times New Roman" w:hAnsi="Times New Roman" w:eastAsia="SimSun"/>
      <w:kern w:val="2"/>
      <w:lang w:eastAsia="zh-CN" w:bidi="hi-IN"/>
    </w:rPr>
  </w:style>
  <w:style w:type="paragraph" w:styleId="Nivel21" w:customStyle="1">
    <w:name w:val="Nivel 21"/>
    <w:basedOn w:val="Normal"/>
    <w:next w:val="Nivel2Opcional"/>
    <w:autoRedefine/>
    <w:qFormat/>
    <w:rsid w:val="00591ffe"/>
    <w:pPr>
      <w:shd w:val="clear" w:color="auto" w:fill="948A54" w:themeFill="background2" w:themeFillShade="80"/>
      <w:spacing w:lineRule="auto" w:line="276" w:before="120" w:after="120"/>
      <w:ind w:left="999" w:hanging="432"/>
      <w:jc w:val="both"/>
    </w:pPr>
    <w:rPr>
      <w:rFonts w:ascii="Arial" w:hAnsi="Arial" w:eastAsia="Arial" w:cs="Arial"/>
      <w:color w:val="000000" w:themeColor="text1"/>
      <w:sz w:val="20"/>
      <w:szCs w:val="20"/>
    </w:rPr>
  </w:style>
  <w:style w:type="paragraph" w:styleId="Nvel2Opcional1" w:customStyle="1">
    <w:name w:val="Nível 2-Opcional"/>
    <w:basedOn w:val="Nvel02"/>
    <w:link w:val="Nvel2-OpcionalChar"/>
    <w:qFormat/>
    <w:rsid w:val="00a70641"/>
    <w:pPr/>
    <w:rPr>
      <w:i/>
      <w:color w:val="FF0000"/>
    </w:rPr>
  </w:style>
  <w:style w:type="paragraph" w:styleId="Nvel3Opcional1" w:customStyle="1">
    <w:name w:val="Nível 3-Opcional"/>
    <w:basedOn w:val="Nivel3"/>
    <w:link w:val="Nvel3-OpcionalChar"/>
    <w:qFormat/>
    <w:rsid w:val="00a70641"/>
    <w:pPr/>
    <w:rPr>
      <w:i/>
      <w:color w:val="FF0000"/>
    </w:rPr>
  </w:style>
  <w:style w:type="paragraph" w:styleId="Nvel1SemBlack" w:customStyle="1">
    <w:name w:val="Nível 1-Sem Black"/>
    <w:basedOn w:val="Normal"/>
    <w:link w:val="Nvel1-SemBlackChar"/>
    <w:uiPriority w:val="1"/>
    <w:qFormat/>
    <w:rsid w:val="00243342"/>
    <w:pPr>
      <w:keepNext w:val="true"/>
      <w:keepLines/>
      <w:tabs>
        <w:tab w:val="clear" w:pos="720"/>
        <w:tab w:val="left" w:pos="567" w:leader="none"/>
      </w:tabs>
      <w:spacing w:lineRule="auto" w:line="276" w:before="240" w:after="120"/>
      <w:jc w:val="both"/>
      <w:outlineLvl w:val="1"/>
    </w:pPr>
    <w:rPr>
      <w:rFonts w:ascii="Arial" w:hAnsi="Arial" w:eastAsia="ＭＳ ゴシック" w:cs="Arial" w:eastAsiaTheme="majorEastAsia"/>
      <w:b/>
      <w:bCs/>
      <w:sz w:val="20"/>
      <w:szCs w:val="20"/>
    </w:rPr>
  </w:style>
  <w:style w:type="paragraph" w:styleId="Nivel2" w:customStyle="1">
    <w:name w:val="Nivel 2"/>
    <w:basedOn w:val="Normal"/>
    <w:link w:val="Nivel2Char"/>
    <w:qFormat/>
    <w:rsid w:val="00196a7f"/>
    <w:pPr>
      <w:spacing w:lineRule="auto" w:line="288" w:before="120" w:after="120"/>
      <w:jc w:val="both"/>
    </w:pPr>
    <w:rPr>
      <w:rFonts w:ascii="Arial" w:hAnsi="Arial" w:eastAsia="Arial" w:cs="Arial"/>
      <w:sz w:val="20"/>
      <w:szCs w:val="20"/>
    </w:rPr>
  </w:style>
  <w:style w:type="paragraph" w:styleId="Nvel2Red" w:customStyle="1">
    <w:name w:val="Nível 2 -Red"/>
    <w:basedOn w:val="Nivel2"/>
    <w:link w:val="Nvel2-RedChar"/>
    <w:qFormat/>
    <w:rsid w:val="00196a7f"/>
    <w:pPr>
      <w:ind w:left="2558" w:hanging="0"/>
    </w:pPr>
    <w:rPr>
      <w:i/>
      <w:iCs/>
      <w:color w:val="FF0000"/>
    </w:rPr>
  </w:style>
  <w:style w:type="paragraph" w:styleId="Nvel1SemNumPreto" w:customStyle="1">
    <w:name w:val="Nível 1-Sem Num Preto"/>
    <w:basedOn w:val="Nvel1SemNum"/>
    <w:link w:val="Nvel1-SemNumPretoChar"/>
    <w:qFormat/>
    <w:rsid w:val="00196a7f"/>
    <w:pPr>
      <w:keepNext w:val="true"/>
      <w:keepLines/>
      <w:tabs>
        <w:tab w:val="clear" w:pos="720"/>
        <w:tab w:val="left" w:pos="567" w:leader="none"/>
      </w:tabs>
      <w:spacing w:before="240" w:after="120"/>
      <w:ind w:left="720" w:hanging="357"/>
      <w:outlineLvl w:val="9"/>
    </w:pPr>
    <w:rPr>
      <w:rFonts w:eastAsia="ＭＳ ゴシック" w:eastAsiaTheme="majorEastAsia"/>
      <w:bCs/>
      <w:i w:val="false"/>
      <w:iCs/>
      <w:spacing w:val="5"/>
      <w:kern w:val="2"/>
      <w:sz w:val="52"/>
      <w:szCs w:val="52"/>
      <w:lang w:eastAsia="zh-CN" w:bidi="hi-IN"/>
    </w:rPr>
  </w:style>
  <w:style w:type="paragraph" w:styleId="Nvel4Red" w:customStyle="1">
    <w:name w:val="Nível 4-Red"/>
    <w:basedOn w:val="Nivel4"/>
    <w:link w:val="Nvel4-RedChar"/>
    <w:autoRedefine/>
    <w:qFormat/>
    <w:rsid w:val="00196a7f"/>
    <w:pPr>
      <w:numPr>
        <w:ilvl w:val="0"/>
        <w:numId w:val="0"/>
      </w:numPr>
      <w:suppressAutoHyphens w:val="true"/>
      <w:ind w:left="567" w:hanging="0"/>
    </w:pPr>
    <w:rPr>
      <w:rFonts w:eastAsia="MS Mincho"/>
      <w:bCs w:val="false"/>
      <w:iCs/>
      <w:color w:val="FF0000"/>
      <w:lang w:eastAsia="en-US"/>
    </w:rPr>
  </w:style>
  <w:style w:type="paragraph" w:styleId="Estilo7" w:customStyle="1">
    <w:name w:val="Estilo7"/>
    <w:basedOn w:val="Nivel2"/>
    <w:link w:val="Estilo7Char"/>
    <w:qFormat/>
    <w:rsid w:val="00196a7f"/>
    <w:pPr/>
    <w:rPr>
      <w:i/>
      <w:color w:val="FF0000"/>
    </w:rPr>
  </w:style>
  <w:style w:type="paragraph" w:styleId="Estilo8" w:customStyle="1">
    <w:name w:val="Estilo8"/>
    <w:basedOn w:val="Nivel3"/>
    <w:link w:val="Estilo8Char"/>
    <w:qFormat/>
    <w:rsid w:val="00196a7f"/>
    <w:pPr>
      <w:numPr>
        <w:ilvl w:val="0"/>
        <w:numId w:val="0"/>
      </w:numPr>
      <w:ind w:left="1276" w:hanging="0"/>
    </w:pPr>
    <w:rPr>
      <w:rFonts w:cs="Arial"/>
      <w:i/>
      <w:color w:val="FF0000"/>
    </w:rPr>
  </w:style>
  <w:style w:type="paragraph" w:styleId="Estilo9" w:customStyle="1">
    <w:name w:val="Estilo9"/>
    <w:basedOn w:val="Nivel5"/>
    <w:link w:val="Estilo9Char"/>
    <w:qFormat/>
    <w:rsid w:val="00196a7f"/>
    <w:pPr>
      <w:numPr>
        <w:ilvl w:val="0"/>
        <w:numId w:val="0"/>
      </w:numPr>
      <w:ind w:left="1276" w:hanging="360"/>
    </w:pPr>
    <w:rPr>
      <w:i w:val="false"/>
      <w:szCs w:val="24"/>
    </w:rPr>
  </w:style>
  <w:style w:type="paragraph" w:styleId="EstiloNvel2Redesquerda176cmPrimeiralinha0cm" w:customStyle="1">
    <w:name w:val="Estilo Nível 2 -Red + À esquerda:  176 cm Primeira linha:  0 cm"/>
    <w:basedOn w:val="Nvel2Red"/>
    <w:qFormat/>
    <w:rsid w:val="00196a7f"/>
    <w:pPr>
      <w:ind w:left="999" w:hanging="0"/>
    </w:pPr>
    <w:rPr>
      <w:rFonts w:eastAsia="Times New Roman" w:cs="Times New Roman"/>
    </w:rPr>
  </w:style>
  <w:style w:type="paragraph" w:styleId="Textodecomentrio1" w:customStyle="1">
    <w:name w:val="Texto de comentário1"/>
    <w:basedOn w:val="Normal"/>
    <w:next w:val="Annotationtext"/>
    <w:uiPriority w:val="99"/>
    <w:unhideWhenUsed/>
    <w:qFormat/>
    <w:rsid w:val="00196a7f"/>
    <w:pPr/>
    <w:rPr>
      <w:rFonts w:eastAsia="Calibri"/>
      <w:kern w:val="2"/>
      <w:sz w:val="22"/>
      <w:szCs w:val="22"/>
    </w:rPr>
  </w:style>
  <w:style w:type="paragraph" w:styleId="Ttulodetabela">
    <w:name w:val="Título de tabela"/>
    <w:basedOn w:val="Contedodatabela"/>
    <w:qFormat/>
    <w:pPr>
      <w:suppressLineNumbers/>
      <w:jc w:val="center"/>
    </w:pPr>
    <w:rPr>
      <w:b/>
      <w:bCs/>
    </w:rPr>
  </w:style>
  <w:style w:type="paragraph" w:styleId="TableParagraph">
    <w:name w:val="Table Paragraph"/>
    <w:basedOn w:val="Normal"/>
    <w:qFormat/>
    <w:pPr/>
    <w:rPr>
      <w:rFonts w:ascii="Times New Roman" w:hAnsi="Times New Roman" w:eastAsia="Times New Roman" w:cs="Times New Roman"/>
      <w:lang w:val="pt-PT" w:eastAsia="en-US" w:bidi="ar-SA"/>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omments.xml.rels><?xml version="1.0" encoding="UTF-8"?>
<Relationships xmlns="http://schemas.openxmlformats.org/package/2006/relationships"><Relationship Id="rId1" Type="http://schemas.openxmlformats.org/officeDocument/2006/relationships/hyperlink" Target="mailto:cgu.modeloscontratacao@agu.gov.br" TargetMode="External"/><Relationship Id="rId2" Type="http://schemas.openxmlformats.org/officeDocument/2006/relationships/hyperlink" Target="https://www.gov.br/pncp/pt-br/catalogo-eletronico-de-padronizacao" TargetMode="External"/><Relationship Id="rId3" Type="http://schemas.openxmlformats.org/officeDocument/2006/relationships/hyperlink" Target="https://www.gov.br/agu/pt-br/composicao/cgu/cgu/guias/gncs_082022.pdf" TargetMode="External"/><Relationship Id="rId4" Type="http://schemas.openxmlformats.org/officeDocument/2006/relationships/hyperlink" Target="https://www.gov.br/compras/pt-br/acesso-a-informacao/legislacao/instrucoes-normativas/instrucao-normativa-seges-me-no-81-de-25-de-novembro-de-2022" TargetMode="External"/><Relationship Id="rId5" Type="http://schemas.openxmlformats.org/officeDocument/2006/relationships/hyperlink" Target="https://www.gov.br/compras/pt-br/acesso-a-informacao/legislacao/instrucoes-normativas/instrucao-normativa-seges-no-58-de-8-de-agosto-de-2022" TargetMode="External"/><Relationship Id="rId6" Type="http://schemas.openxmlformats.org/officeDocument/2006/relationships/hyperlink" Target="https://www.gov.br/compras/pt-br/acesso-a-informacao/legislacao/portarias/portaria-seges-me-no-8-678-de-19-de-julho-de-2021" TargetMode="External"/><Relationship Id="rId7" Type="http://schemas.openxmlformats.org/officeDocument/2006/relationships/hyperlink" Target="https://sapiens.agu.gov.br/valida_publico?id=627431320" TargetMode="External"/><Relationship Id="rId8" Type="http://schemas.openxmlformats.org/officeDocument/2006/relationships/hyperlink" Target="https://www.planalto.gov.br/ccivil_03/_ato2007-2010/2010/lei/l12305.htm" TargetMode="External"/><Relationship Id="rId9" Type="http://schemas.openxmlformats.org/officeDocument/2006/relationships/hyperlink" Target="https://sapiens.agu.gov.br/valida_publico?id=627431320" TargetMode="External"/><Relationship Id="rId10" Type="http://schemas.openxmlformats.org/officeDocument/2006/relationships/hyperlink" Target="https://www.gov.br/agu/pt-br/composicao/cgu/cgu/guias/gncs_082022.pdf" TargetMode="External"/><Relationship Id="rId11" Type="http://schemas.openxmlformats.org/officeDocument/2006/relationships/hyperlink" Target="https://www.gov.br/agu/pt-br/composicao/cgu/cgu/guias/gncs_082022.pdf" TargetMode="External"/><Relationship Id="rId12" Type="http://schemas.openxmlformats.org/officeDocument/2006/relationships/hyperlink" Target="https://doacoes.gov.br/" TargetMode="External"/><Relationship Id="rId13" Type="http://schemas.openxmlformats.org/officeDocument/2006/relationships/hyperlink" Target="http://www.planalto.gov.br/ccivil_03/_ato2019-2022/2021/lei/L14133.htm" TargetMode="External"/><Relationship Id="rId14" Type="http://schemas.openxmlformats.org/officeDocument/2006/relationships/hyperlink" Target="https://www.gov.br/compras/pt-br/acesso-a-informacao/legislacao/instrucoes-normativas/instrucao-normativa-seges-me-no-81-de-25-de-novembro-de-2022" TargetMode="External"/><Relationship Id="rId15" Type="http://schemas.openxmlformats.org/officeDocument/2006/relationships/hyperlink" Target="https://www.gov.br/compras/pt-br/acesso-a-informacao/legislacao/instrucoes-normativas/instrucao-normativa-seges-me-no-81-de-25-de-novembro-de-2022" TargetMode="External"/><Relationship Id="rId16" Type="http://schemas.openxmlformats.org/officeDocument/2006/relationships/hyperlink" Target="http://www.planalto.gov.br/ccivil_03/_ato2019-2022/2021/lei/L14133.htm" TargetMode="External"/><Relationship Id="rId17" Type="http://schemas.openxmlformats.org/officeDocument/2006/relationships/hyperlink" Target="https://www.in.gov.br/en/web/dou/-/instrucao-normativa-seges-n-58-de-8-de-agosto-de-2022-421221597%23" TargetMode="External"/><Relationship Id="rId18" Type="http://schemas.openxmlformats.org/officeDocument/2006/relationships/hyperlink" Target="http://www.planalto.gov.br/ccivil_03/_ato2019-2022/2022/decreto/D11246.htm" TargetMode="External"/><Relationship Id="rId19" Type="http://schemas.openxmlformats.org/officeDocument/2006/relationships/hyperlink" Target="http://www.planalto.gov.br/ccivil_03/_ato2019-2022/2021/lei/L14133.htm" TargetMode="External"/><Relationship Id="rId20" Type="http://schemas.openxmlformats.org/officeDocument/2006/relationships/hyperlink" Target="https://www.gov.br/compras/pt-br/acesso-a-informacao/legislacao/instrucoes-normativas/instrucao-normativa-seges-me-no-77-de-4-de-novembro-de-2022" TargetMode="External"/><Relationship Id="rId21" Type="http://schemas.openxmlformats.org/officeDocument/2006/relationships/hyperlink" Target="http://www.planalto.gov.br/ccivil_03/_ato2019-2022/2021/lei/L14133.htm" TargetMode="External"/><Relationship Id="rId22" Type="http://schemas.openxmlformats.org/officeDocument/2006/relationships/hyperlink" Target="https://www.gov.br/compras/pt-br/acesso-a-informacao/legislacao/instrucoes-normativas/instrucao-normativa-seges-me-no-77-de-4-de-novembro-de-2022" TargetMode="External"/><Relationship Id="rId23" Type="http://schemas.openxmlformats.org/officeDocument/2006/relationships/hyperlink" Target="https://www.gov.br/compras/pt-br/acesso-a-informacao/legislacao/instrucoes-normativas/instrucao-normativa-seges-me-no-77-de-4-de-novembro-de-2022" TargetMode="External"/><Relationship Id="rId24"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htm" TargetMode="External"/><Relationship Id="rId26" Type="http://schemas.openxmlformats.org/officeDocument/2006/relationships/hyperlink" Target="http://www.planalto.gov.br/ccivil_03/_ato2019-2022/2021/lei/L14133.htm" TargetMode="External"/><Relationship Id="rId27" Type="http://schemas.openxmlformats.org/officeDocument/2006/relationships/hyperlink" Target="https://www.gov.br/compras/pt-br/acesso-a-informacao/legislacao/instrucoes-normativas/instrucao-normativa-seges-me-no-116-de-21-de-dezembro-de-2021" TargetMode="External"/><Relationship Id="rId28" Type="http://schemas.openxmlformats.org/officeDocument/2006/relationships/hyperlink" Target="http://www.planalto.gov.br/ccivil_03/_ato2019-2022/2021/lei/L14133.htm" TargetMode="External"/><Relationship Id="rId29" Type="http://schemas.openxmlformats.org/officeDocument/2006/relationships/hyperlink" Target="https://www.gov.br/compras/pt-br/acesso-a-informacao/legislacao/instrucoes-normativas/instrucao-normativa-seges-me-no-116-de-21-de-dezembro-de-2021" TargetMode="External"/><Relationship Id="rId30" Type="http://schemas.openxmlformats.org/officeDocument/2006/relationships/hyperlink" Target="https://www.planalto.gov.br/ccivil_03/_ato2019-2022/2022/decreto/d10977.htm" TargetMode="External"/><Relationship Id="rId31" Type="http://schemas.openxmlformats.org/officeDocument/2006/relationships/hyperlink" Target="https://www.gov.br/compras/pt-br/acesso-a-informacao/legislacao/instrucoes-normativas/instrucao-normativa-seges-me-no-116-de-21-de-dezembro-de-2021" TargetMode="External"/><Relationship Id="rId32"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9-2022/2022/decreto/D10977.htm" TargetMode="External"/><Relationship Id="rId34" Type="http://schemas.openxmlformats.org/officeDocument/2006/relationships/hyperlink" Target="https://www.planalto.gov.br/ccivil_03/leis/1980-1988/l7116.htm" TargetMode="External"/><Relationship Id="rId35" Type="http://schemas.openxmlformats.org/officeDocument/2006/relationships/hyperlink" Target="https://www.in.gov.br/en/web/dou/-/lei-n-14.195-de-26-de-agosto-de-2021-341049135" TargetMode="External"/><Relationship Id="rId36" Type="http://schemas.openxmlformats.org/officeDocument/2006/relationships/hyperlink" Target="http://www.planalto.gov.br/ccivil_03/_ato2019-2022/2022/lei/L14382.htm" TargetMode="External"/><Relationship Id="rId37" Type="http://schemas.openxmlformats.org/officeDocument/2006/relationships/hyperlink" Target="https://legislacao.presidencia.gov.br/atos/?tipo=LEI&amp;numero=10406&amp;ano=2002&amp;ato=ac5gXVE5ENNpWT07a" TargetMode="External"/><Relationship Id="rId38" Type="http://schemas.openxmlformats.org/officeDocument/2006/relationships/hyperlink" Target="https://www.planalto.gov.br/ccivil_03/leis/l5172compilado.htm" TargetMode="External"/><Relationship Id="rId39"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constituicao/constituicao.htm" TargetMode="External"/><Relationship Id="rId42"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constituicao/constituicao.htm" TargetMode="External"/><Relationship Id="rId45"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seges-me-no-116-de-21-de-dezembro-de-2021" TargetMode="External"/><Relationship Id="rId47" Type="http://schemas.openxmlformats.org/officeDocument/2006/relationships/hyperlink" Target="http://www.planalto.gov.br/ccivil_03/_ato2019-2022/2021/lei/L14133.htm" TargetMode="External"/><Relationship Id="rId48" Type="http://schemas.openxmlformats.org/officeDocument/2006/relationships/hyperlink" Target="https://sapiens.agu.gov.br/valida_publico?id=701283242" TargetMode="External"/><Relationship Id="rId49" Type="http://schemas.openxmlformats.org/officeDocument/2006/relationships/hyperlink" Target="https://antigo.agu.gov.br/page/atos/detalhe/idato/1778660" TargetMode="External"/><Relationship Id="rId50" Type="http://schemas.openxmlformats.org/officeDocument/2006/relationships/hyperlink" Target="http://www.planalto.gov.br/ccivil_03/_ato2019-2022/2021/lei/L14133.htm" TargetMode="External"/><Relationship Id="rId51" Type="http://schemas.openxmlformats.org/officeDocument/2006/relationships/hyperlink" Target="https://www.gov.br/compras/pt-br/acesso-a-informacao/legislacao/instrucoes-normativas/instrucao-normativa-seges-me-no-65-de-7-de-julho-de-2021" TargetMode="External"/><Relationship Id="rId52" Type="http://schemas.openxmlformats.org/officeDocument/2006/relationships/hyperlink" Target="https://www.gov.br/compras/pt-br/acesso-a-informacao/legislacao/instrucoes-normativas/instrucao-normativa-seges-me-no-81-de-25-de-novembro-de-2022" TargetMode="External"/>
</Relationship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comments" Target="comments.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Application>LibreOffice/7.2.1.2$Windows_X86_64 LibreOffice_project/87b77fad49947c1441b67c559c339af8f3517e22</Application>
  <AppVersion>15.0000</AppVersion>
  <Pages>23</Pages>
  <Words>6895</Words>
  <Characters>39300</Characters>
  <CharactersWithSpaces>45696</CharactersWithSpaces>
  <Paragraphs>370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2025-12-01T11:15:00Z</dcterms:created>
  <dc:creator/>
  <dc:description/>
  <dc:language>pt-BR</dc:language>
  <cp:lastModifiedBy/>
  <cp:lastPrinted>2026-03-05T10:26:46Z</cp:lastPrinted>
  <dcterms:modified xsi:type="dcterms:W3CDTF">2026-03-05T10:34:45Z</dcterms:modified>
  <cp:revision>19</cp:revision>
  <dc:subject/>
  <dc:title/>
</cp:coreProperties>
</file>

<file path=docProps/custom.xml><?xml version="1.0" encoding="utf-8"?>
<Properties xmlns="http://schemas.openxmlformats.org/officeDocument/2006/custom-properties" xmlns:vt="http://schemas.openxmlformats.org/officeDocument/2006/docPropsVTypes"/>
</file>